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30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rtl w:val="0"/>
        </w:rPr>
        <w:t xml:space="preserve">「規模過大」見直しを　松阪市観光交流拠点施設　別館で市長に意見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48"/>
          <w:szCs w:val="48"/>
          <w:rtl w:val="0"/>
        </w:rPr>
        <w:t xml:space="preserve">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【松阪】「長谷川家文化財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専門委員会」（五人）の菅原洋一委員長らは十日、松阪市役所で同市が旧長谷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川邸（同市魚町）隣で建設を予定している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観光交流拠点施設別館に対する意見書を竹上真人市長に提出した。「施設の規模が過大」として見直しを求めた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同委員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会は平成二十五年十一月、旧長谷川邸の保存管理活用計画の策定を目的に設置した。旧長谷川邸は先月、国の文化審議会が重要文化財に指定するよう答申している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観光交流拠点施設の建設は山中光茂前市長時代に計画された。二十七年十月の市長選で当選した竹上市長は再検討のため、二十八年度当初予算で事業費の計上を見送っている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意見書では、「長谷川家離れ座敷からは、松坂城石垣が望めるような眺望の計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画がなされていた」と指摘し、別館が眺めの邪魔にならないように「純木造とし、高さもできるだけ低層にすることが望ましい」と注文している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また、「史資料の保存活用等は長谷川家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内において充実を図り、別館二階の展示は抑制的に扱うべき」と提言。「本館と別館の機能分担は、ランニングコストを考慮し抜本的に再考すべき」と求めた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竹上市長は「ここへ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来て非常に重たい意見をいただいた。二十年後のまちのグランドデザインを考える『豪商のまち松阪』中心市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街地土地利用計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画検討委員会で一年かけて考えていきたい」と話すとともに、「本館と別館のランニングコストはご指摘の通り、わがまちの規模で維持できるか危惧している」と漏らした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