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2C" w:rsidRPr="00C006AE" w:rsidRDefault="00BB602C" w:rsidP="00BB602C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2. </w:t>
      </w:r>
      <w:r w:rsidRPr="00C006AE">
        <w:rPr>
          <w:rFonts w:eastAsiaTheme="minorHAnsi" w:hint="eastAsia"/>
          <w:spacing w:val="-15"/>
          <w:sz w:val="22"/>
        </w:rPr>
        <w:t>상장사, 올 들어 타법인 주식 ‘사고팔고’ 활발해져</w:t>
      </w:r>
    </w:p>
    <w:p w:rsidR="00BB602C" w:rsidRPr="00C006AE" w:rsidRDefault="00BB602C" w:rsidP="00BB602C">
      <w:pPr>
        <w:rPr>
          <w:rFonts w:eastAsiaTheme="minorHAnsi"/>
          <w:sz w:val="22"/>
        </w:rPr>
      </w:pPr>
    </w:p>
    <w:p w:rsidR="00BB602C" w:rsidRPr="00C006AE" w:rsidRDefault="00BB602C" w:rsidP="00BB602C">
      <w:pPr>
        <w:rPr>
          <w:rFonts w:eastAsiaTheme="minorHAnsi"/>
          <w:sz w:val="22"/>
          <w:shd w:val="clear" w:color="auto" w:fill="FFFFFF"/>
        </w:rPr>
      </w:pPr>
      <w:r w:rsidRPr="00C006AE">
        <w:rPr>
          <w:rStyle w:val="a5"/>
          <w:rFonts w:eastAsiaTheme="minorHAnsi"/>
          <w:b w:val="0"/>
          <w:sz w:val="22"/>
          <w:shd w:val="clear" w:color="auto" w:fill="FFFFFF"/>
        </w:rPr>
        <w:t>-유가증권ㆍ코스닥 상장법인, 타법인 주식 취득금액 전년比 238.6%↑</w:t>
      </w:r>
      <w:r w:rsidRPr="00C006AE">
        <w:rPr>
          <w:rFonts w:eastAsiaTheme="minorHAnsi"/>
          <w:bCs/>
          <w:sz w:val="22"/>
          <w:shd w:val="clear" w:color="auto" w:fill="FFFFFF"/>
        </w:rPr>
        <w:br/>
      </w:r>
      <w:r w:rsidRPr="00C006AE">
        <w:rPr>
          <w:rFonts w:eastAsiaTheme="minorHAnsi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/>
          <w:b w:val="0"/>
          <w:sz w:val="22"/>
          <w:shd w:val="clear" w:color="auto" w:fill="FFFFFF"/>
        </w:rPr>
        <w:t>-롯데케미칼의 롯데첨단소재 인수, 주식 취득금액 2조3265억원</w:t>
      </w:r>
      <w:r w:rsidRPr="00C006AE">
        <w:rPr>
          <w:rFonts w:eastAsiaTheme="minorHAnsi"/>
          <w:bCs/>
          <w:sz w:val="22"/>
          <w:shd w:val="clear" w:color="auto" w:fill="FFFFFF"/>
        </w:rPr>
        <w:br/>
      </w:r>
      <w:r w:rsidRPr="00C006AE">
        <w:rPr>
          <w:rFonts w:eastAsiaTheme="minorHAnsi"/>
          <w:bCs/>
          <w:sz w:val="22"/>
          <w:shd w:val="clear" w:color="auto" w:fill="FFFFFF"/>
        </w:rPr>
        <w:br/>
      </w:r>
      <w:bookmarkStart w:id="0" w:name="_GoBack"/>
      <w:bookmarkEnd w:id="0"/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[헤럴드경제=양영경 기자] 올 들어 유가증권(코스피)ㆍ코스닥 상장법인의 타법인 주식 취득ㆍ처분 관련 금액이 지난해보다 큰 폭으로 늘어난 것으로 나타났다.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롯데케미칼과 미래에셋증권의 타법인 주식 취득금액은 2조원을 훌쩍 넘어서며 금액규모 상위에 올랐다.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13일 한국거래소에 따르면 지난 8일 기준 유가증권ㆍ코스닥 상장법인의 타법인 주식 취득공시는 195건으로 지난해 같은 기간에 비해 50.0% 늘었다. 이에 따른 취득금액은 19조36억원으로 같은 기간 238.6% 증가한 것으로 집계됐다.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시장별로 유가증권시장의 공시건수는 81건, 취득금액은 15조4055억원으로 지난해보다 각각 24.6%, 233.2% 증가했다. 코스닥 상장법인의 공시건수(114건)와 취득금액(3조5981억원)은 75.4%, 263.4% 늘었다.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한국거래소 관계자는 “다수의 상장법인이 경영권 인수 등 신규사업 진출이나 사업다각화를 통한 신성장 동력 확보, 자회사 또는 관계회사에 대한 출자 등을 목적으로 대규모 타법인 주식 취득에 나선 것으로 확인됐다”고 설명했다. </w:t>
      </w:r>
    </w:p>
    <w:p w:rsidR="00BB602C" w:rsidRPr="00C006AE" w:rsidRDefault="00BB602C" w:rsidP="00BB602C">
      <w:pPr>
        <w:rPr>
          <w:rFonts w:eastAsiaTheme="minorHAnsi"/>
          <w:sz w:val="22"/>
          <w:shd w:val="clear" w:color="auto" w:fill="FFFFFF"/>
        </w:rPr>
      </w:pPr>
    </w:p>
    <w:p w:rsidR="00BB602C" w:rsidRPr="00C006AE" w:rsidRDefault="00BB602C" w:rsidP="00BB602C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>이 중 롯데케미칼의 롯데첨단소재(舊 SDI케미칼) 인수, 미래에셋증권의 대우증권 인수와 관련된 주식 취득금액은 각각 2조3265억원, 2조3205억원으로 전체 타법인 주식 취득금액(19조36억원)의 4분의 1을 차지했다.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KB금융의 현대증권 인수(1조2375억원), 카카오의 로엔엔터테인먼트 인수(1조8743억원) 등의 취득금액도 1조원 규모였다.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이와 함께 타법인 주식 처분금액도 큰 폭으로 늘었다.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주식 처분공시는 78건으로 지난해 같은 기간보다 36.8%, 처분금액은 9조4762억원으로 107.6% 늘어났다.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 xml:space="preserve">유가증권 상장법인의 공시건수(49건)와 처분금액(8조4910억원)은 각각 58.1%, 95.8% 증가한 것으로 집계됐다. 코스닥 상장법인의 경우 각각 29건, 9852억원으로 지난해보다 각각 11.5%, 335.5% 늘어난 </w:t>
      </w:r>
      <w:r w:rsidRPr="00C006AE">
        <w:rPr>
          <w:rFonts w:eastAsiaTheme="minorHAnsi"/>
          <w:sz w:val="22"/>
          <w:shd w:val="clear" w:color="auto" w:fill="FFFFFF"/>
        </w:rPr>
        <w:lastRenderedPageBreak/>
        <w:t>수치를 보였다.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타법인 주식 처분금액이 가장 컸던 사례는 삼성SDI의 롯데첨단소재ㆍ삼성물산 주식 처분(3조915억원)이었다. 현대상선의 현대증권 처분(1조2303억원), CJ오쇼핑의 씨제이헬로비전 처분(5000억원) 등도 주요 사례로 꼽혔다.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</w:rPr>
        <w:br/>
      </w:r>
      <w:r w:rsidRPr="00C006AE">
        <w:rPr>
          <w:rFonts w:eastAsiaTheme="minorHAnsi"/>
          <w:sz w:val="22"/>
          <w:shd w:val="clear" w:color="auto" w:fill="FFFFFF"/>
        </w:rPr>
        <w:t>주식 처분 목적은 자산매각을 통한 재무구조 개선, 핵심사업 역량 강화를 위한 투자재원 마련 등이 다수를 차지했다.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 </w:t>
      </w:r>
    </w:p>
    <w:p w:rsidR="00BB602C" w:rsidRPr="00C006AE" w:rsidRDefault="00BB602C" w:rsidP="00BB602C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BB602C" w:rsidRDefault="00D401CC">
      <w:pPr>
        <w:rPr>
          <w:rFonts w:hint="eastAsia"/>
          <w:b/>
          <w:sz w:val="22"/>
        </w:rPr>
      </w:pPr>
    </w:p>
    <w:sectPr w:rsidR="00D401CC" w:rsidRPr="00BB602C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E8" w:rsidRDefault="00663FE8" w:rsidP="0061092E">
      <w:r>
        <w:separator/>
      </w:r>
    </w:p>
  </w:endnote>
  <w:endnote w:type="continuationSeparator" w:id="0">
    <w:p w:rsidR="00663FE8" w:rsidRDefault="00663FE8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E8" w:rsidRDefault="00663FE8" w:rsidP="0061092E">
      <w:r>
        <w:separator/>
      </w:r>
    </w:p>
  </w:footnote>
  <w:footnote w:type="continuationSeparator" w:id="0">
    <w:p w:rsidR="00663FE8" w:rsidRDefault="00663FE8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F4B02"/>
    <w:rsid w:val="00415591"/>
    <w:rsid w:val="0061092E"/>
    <w:rsid w:val="00621C12"/>
    <w:rsid w:val="00663FE8"/>
    <w:rsid w:val="006D5124"/>
    <w:rsid w:val="007B6C60"/>
    <w:rsid w:val="00997A56"/>
    <w:rsid w:val="00A5413D"/>
    <w:rsid w:val="00BB602C"/>
    <w:rsid w:val="00C90FDB"/>
    <w:rsid w:val="00D401CC"/>
    <w:rsid w:val="00D54966"/>
    <w:rsid w:val="00D90E07"/>
    <w:rsid w:val="00EC6CC1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2016-06-24T22:10:00Z</dcterms:created>
  <dcterms:modified xsi:type="dcterms:W3CDTF">2016-06-24T22:10:00Z</dcterms:modified>
</cp:coreProperties>
</file>