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Título: Tibisay Lucena: Si hay violencia no habrá validación de firmas</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presidenta del CNE dijo que la validación de firmas será del 20 y el 24 de junio en las oficinas regionales del CNE, en horario de 8:00 am a 12:00 pm y de 1:00 pm a 4:00 pm</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La presidenta del Consejo Nacional Electoral (CNE), Tibisay Lucena, anunció al final de la mañana de este viernes que tras la depuración de las planillas entregadas por la Mesa de la Unidad Democrática (MUD), irán a una nueva etapa para su validación 1.352.052 firmas.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Lucena informó que la validación de firmas se hará entre el 20 y el 24 de junio en las oficinas regionales del CNE, en horario de 8:00 am a 12:00 pm y de 1:00 pm a 4:00 pm.</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Durante la rueda de prensa ofrecida por la presidenta del ente comicial, señaló que "si hay violencia en la validación de las firmas se suspenderá el proceso".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Para el 26 de junio se tendrá la respuesta oficial sobre este proceso el cual, dijo, espera que se lleve a cabo con total normalidad sin que se vean afectados o agredidos trabajadores o miembros del CNE.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Lucena también informó que durante el proceso de verificación de las planillas entregadas por la MUD, se detectaron 9.333 números de cédula de identidad inexistentes, así como 605.727 registros que no cumplieron con lo establecido en la norma publicada.</w:t>
      </w:r>
    </w:p>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 xml:space="preserve">Desde el 13 hasta 17 de junio es el período para recibir reclamos ante el Consejo Nacional Electoral</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