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Proteja sus equipos caseros contra las amenazas online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Activar los firewalls o cortafuegos de los routers es una de las medidas que deben aplicarse para mantener asegurados los dispositivos que se encuentran conectados a estos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Hacer que los equipos con conexión a Internet permanezcan fuera del acceso de terceras personas es una manera de resguardar la información sensible que en estos pueda estar almacenada.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“Nadie va a mantener la puerta de su casa sin seguro. Hay que pensar igual sobre los aparatos en su red”, indicó en una entrevista para la revista PC Magazine JD Sherry, vicepresidente de Soluciones Tecnológicas en Trend Micro, una compañía estadounidense especializada en software de seguridad.</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existen ciertas medidas de precaución que se deben implementar, especialmente en hogares en los que haya aparatos como televisores inteligentes, que permanezcan conectados a una Wifi.</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Blindar las contraseñas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laboratorio de investigación de Eset Lationamérica, empresa especializada en seguridad informática, recomienda cambiar las contraseñas que tienen configuradas por defecto los routers y equipos como cámaras de circuito cerrado, utilizadas en sistemas de vigilancia y monitores para bebés.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Esto se debe a que en sitios web pueden encontrarse publicadas las claves preestablecidas de esos dispositivos, por lo que se deben reemplazar por una más compleja.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el portal en Internet Life Hacker aconseja usar contraseñas de al menos 12 caracteres, evitar nombres, lugares y palabras del diccionario, así como emplear variaciones de mayúsculas y minúsculas, signos de puntuación y números.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Una pared invisible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firewalls o cortafuegos son sistemas que bloquean el acceso no autorizado desde Internet, por lo que es importante activarlos en la confguración del router.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También resulta necesario cerciorarse de que esté actualizado y que use un cifrado de tipo WPA/WPA2, en lugar de WEP, ya que este último es más vulnerable.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Pablo Ramos, jefe del laboratorio de investigación de Eset Lationamérica, asegura que “la rápida evolución de la tecnología provoca que surjan fallas en la seguridad de los dispositivos o que su implementación en una red hogareña, no sea la adecuada. Por ello es importante que los usuarios puedan informarse para que protejan las redes de sus hogares de forma sencilla y segura”.</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32"/>
          <w:szCs w:val="32"/>
          <w:shd w:fill="dddddd" w:val="clear"/>
          <w:rtl w:val="0"/>
        </w:rPr>
        <w:t xml:space="preserve">Top5</w:t>
        <w:br w:type="textWrapping"/>
        <w:t xml:space="preserve">De acuerdo con el blog especializado en tecnología Gizmodo, las cinco contraseñas más utilizadas el año pasado fueron: 123456, password, 12345678, qwerty y 12345. Los primeros dos puestos los ocuparon las mismas claves en 2014.</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60" w:before="0" w:line="259" w:lineRule="auto"/>
    </w:pPr>
    <w:rPr>
      <w:rFonts w:ascii="Calibri" w:cs="Calibri" w:eastAsia="Calibri" w:hAnsi="Calibri"/>
      <w:b w:val="0"/>
      <w:sz w:val="22"/>
      <w:szCs w:val="2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