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Titulo: Poliguanipa ultimó a joven en supuesto enfrentamiento en El Tigrito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Adrián Torres Berenguel, de 26 años, murió ayer en la mañana cuando, presuntamente, intercambió disparos con una comisión policía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Guanipa.- En un presunto enfrentamiento con uniformados de la Policía Municipal de Guanipa (Poliguanipa) fue ultimado Adrián José Torres Berenguel, de 26 años, conocido como “el duende”.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El hecho ocurrió a las 9:30 de la mañana de ayer en la calle El Progreso del sector San José de Monteverde, . Al parecer, los funcionarios fueron recibidos a tiros.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Así lo confirmó el oficial jefe Daniel Lascano, director de Poliguanipa, quien agregó que atendieron una llamada en el cuadrante N° 5 en la que alertaban sobre unos sujetos que habían robado a los usuarios de las paradas de transporte del sector.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“Comisiones nuestras y de Polianzoátegui se trasladaron al sitio. Al llegar nos dispararon. Lamentablemente uno de los ciudadanos cayó mortalmente herido y lo trasladamos al ambulatorio Fritz Petersen”.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Torres recibió un impacto de bala en el intercostal izquierdo y otro en el pectoral derecho.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Lascano precisó que la víctima era nativa de Ciudad Bolívar (estado Bolívar) y que tenía varias entradas en el Centro de Coordinación Policial (CCP) por el delito de robo.</w:t>
        <w:br w:type="textWrapping"/>
        <w:t xml:space="preserve">Indicó que junto a Torres andaban cuatro hombres, quienes se dieron a la fuga.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Investigan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El director de Poliguanipa acotó que aunque aún no han cerrado las averiguaciones, tenían conocimiento de que Torres presuntamente pertenecía a la banda del “gordo vargas”.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Lascano indicó que estos sujetos tenían días operando en la zona. “Robaban a todo el que llegara a la parada o caminara por las calles de San José de Monteverde”. </w:t>
        <w:br w:type="textWrapping"/>
        <w:t xml:space="preserve">Puntualizó que durante el enfrentamiento se incautó un escopetín calibre 12 milímetros.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Sin respuesta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En el ambulatorio Fritz Petersen se presentaron dos mujeres familiares de la víctima. Se mostraban visiblemente afectadas.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No quisieron dar detalles de lo ocurrido a los representantes de los medios.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Solo una de ellas, que lloraba desconsoladamente, se limitó a decir que Torres no tenía una residencia fija porque “no lo dejaban tener una estabilidad. Lo perseguían a cada rato, por eso vivía en todas partes”.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El cuerpo de Adrián José fue llevado a la morgue del hospital Luis Felipe Guevara Rojas de la ciudad de El Tigre, donde se practicará la necropsia de ley.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dddddd" w:val="clear"/>
          <w:rtl w:val="0"/>
        </w:rPr>
        <w:t xml:space="preserve">Captura</w:t>
        <w:br w:type="textWrapping"/>
        <w:t xml:space="preserve">Poliguanipa detuvo a Luis Antonio López Gutiérrez (32 años), alias “marihuanita” y Alexander José Gutiérrez (43), apodado “marihuana”. Ambos, al parecer, estaban dedicados al robo y hurto de residencias. También son señalados de robar un Simoncito en La Floresta.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5" w:before="150" w:line="259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