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40" w:before="300" w:lineRule="auto"/>
        <w:contextualSpacing w:val="0"/>
      </w:pPr>
      <w:r w:rsidDel="00000000" w:rsidR="00000000" w:rsidRPr="00000000">
        <w:rPr>
          <w:rFonts w:ascii="Georgia" w:cs="Georgia" w:eastAsia="Georgia" w:hAnsi="Georgia"/>
          <w:b w:val="0"/>
          <w:color w:val="333333"/>
          <w:sz w:val="50"/>
          <w:szCs w:val="50"/>
          <w:rtl w:val="0"/>
        </w:rPr>
        <w:t xml:space="preserve">Simón Bolívar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333333"/>
          <w:sz w:val="23"/>
          <w:szCs w:val="23"/>
          <w:highlight w:val="white"/>
          <w:rtl w:val="0"/>
        </w:rPr>
        <w:t xml:space="preserve">Si se forzase a los historiadores a designar el más decisivo protagonista de los convulsos procesos que, en las primeras décadas del siglo XIX, condujeron a la emancipación de la América Latina, no hay duda de que resultaría elegido el militar y estadista venezolano Simón Bolívar (1783-1830), justamente honrado con el título de «Libertador de América». Tras no pocos reveses, Simón Bolívar lideró las campañas militares que dieron la independencia a Venezuela, Colombia y Ecuador. Y al igual que otro insigne caudillo de la independencia, José de San Martín, Bolívar comprendió la ineludible necesidad estratégica de ocupar el Perú, verdadero centro neurálgico del Imperio español. Las victorias de Bolívar en la batallas de Junín y de Ayacucho (1824) significaron la caída del antiguo Virreinato, la independencia de Perú y de Bolivia y el punto final a tres siglos de dominación española en Sudamérica.</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Tal fue la trascendencia de su figura que ha podido afirmarse que, en el ámbito sudamericano, la historia de la emancipación es la biografía de Bolívar y parte de la de San Martín. Y no menos admirable resulta su total entrega al ideal emancipador, causa a la que había jurado consagrarse con sólo 22 años en un evocador escenario: el Monte Sacro de Roma. Políticamente, su sueño fue unir las colonias españolas liberadas en una confederación al estilo estadounidense; tal proyecto se materializó en la «Gran Colombia» (1819-1930), que presidió el mismo Bolívar y llegó a englobar Venezuela, Colombia, Ecuador y Panamá. Pese al realismo y rigor de su pensamiento político (siempre juzgó que era preciso adaptar las doctrinas europeas a la realidad americana), el éxito no le acompañó en la monumental empresa de configurar las nuevas repúblicas; sometida a la presión de los caudillismos y las reivindicaciones territoriales, la desmembración de la Gran Colombia también hubiera sido inevitable sin el prematuro fallecimiento de Bolívar.</w:t>
      </w:r>
    </w:p>
    <w:p w:rsidR="00000000" w:rsidDel="00000000" w:rsidP="00000000" w:rsidRDefault="00000000" w:rsidRPr="00000000">
      <w:pPr>
        <w:spacing w:after="0" w:lineRule="auto"/>
        <w:contextualSpacing w:val="0"/>
        <w:jc w:val="both"/>
      </w:pPr>
      <w:r w:rsidDel="00000000" w:rsidR="00000000" w:rsidRPr="00000000">
        <w:rPr>
          <w:rFonts w:ascii="inherit" w:cs="inherit" w:eastAsia="inherit" w:hAnsi="inherit"/>
          <w:b w:val="1"/>
          <w:color w:val="333333"/>
          <w:sz w:val="23"/>
          <w:szCs w:val="23"/>
          <w:rtl w:val="0"/>
        </w:rPr>
        <w:t xml:space="preserve">Biografía</w:t>
      </w:r>
      <w:r w:rsidDel="00000000" w:rsidR="00000000" w:rsidRPr="00000000">
        <w:rPr>
          <w:rtl w:val="0"/>
        </w:rPr>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Simón José Antonio de la Santísima Trinidad Bolívar y Palacios nació en Caracas el 24 de julio de 1783. Venezuela era entonces una Capitanía General del Reino de España entre cuya población se respiraba el descontento por las diferencias de derechos existentes entre la oligarquía española dueña del poder, la clase mantuana o criolla, terratenientes en su mayoría, y los estratos bajos de mulatos y esclavos.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Los criollos, a pesar de los privilegios que tenían, habían desarrollado un sentimiento particular del «ser americano» que los invitaba a la rebeldía: "Estábamos (explicaría Bolívar más tarde) abstraídos y, digámoslo así, ausentes del universo en cuanto es relativo a la ciencia del gobierno y administración del Estado. Jamás éramos virreyes ni gobernadores sino por causas muy extraordinarias; arzobispos y obispos pocas veces; diplomáticos nunca; militares sólo en calidad de subalternos; nobles, sin privilegios reales; no éramos, en fin, ni magistrados ni financistas, y casi ni aun comerciantes; todo en contravención directa de nuestras instituciones".</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Ésta era, por lo demás, la clase a la cual pertenecían sus padres, Juan Vicente Bolívar y Ponte y María de la Concepción Palacios y Blanco. El niño Simón era el menor de cuatro hermanos y muy pronto se convertiría, junto a ellos, en heredero de una gran fortuna. Bolívar quedó huérfano a los nueve años de edad, pasando al cuidado de su abuelo materno y posteriormente de su tío Carlos Palacios; ellos velarían por su educación, aunque también la negra Hipólita, su esclava y nodriza, continuaría cuidando del muchacho.</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Entre los valles de Aragua y la ciudad de Caracas discurrió la infancia y parte de la adolescencia del joven Simón. Combinaba sus estudios en la escuela de primeras letras de la ciudad con visitas a la hacienda de la familia. Más tarde, a los quince años de edad, los territorios aragüeños cobrarían un mayor relieve en su vida cuando, por la mediación que realizó su tío Esteban (ministro del Tribunal de la Contaduría Mayor del Reino ante el rey Carlos IV), fue nombrado subteniente de Milicias de Infantería de Blancos de los Valles de Aragua.</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Mientras esto sucedía, tuvo la suerte de formarse con los mejores maestros y pensadores de la ciudad; figuraban entre ellos </w:t>
      </w:r>
      <w:hyperlink r:id="rId5">
        <w:r w:rsidDel="00000000" w:rsidR="00000000" w:rsidRPr="00000000">
          <w:rPr>
            <w:rFonts w:ascii="inherit" w:cs="inherit" w:eastAsia="inherit" w:hAnsi="inherit"/>
            <w:b w:val="0"/>
            <w:color w:val="258cb0"/>
            <w:sz w:val="23"/>
            <w:szCs w:val="23"/>
            <w:u w:val="single"/>
            <w:rtl w:val="0"/>
          </w:rPr>
          <w:t xml:space="preserve">Andrés Bello</w:t>
        </w:r>
      </w:hyperlink>
      <w:r w:rsidDel="00000000" w:rsidR="00000000" w:rsidRPr="00000000">
        <w:rPr>
          <w:rFonts w:ascii="Verdana" w:cs="Verdana" w:eastAsia="Verdana" w:hAnsi="Verdana"/>
          <w:b w:val="0"/>
          <w:color w:val="333333"/>
          <w:sz w:val="23"/>
          <w:szCs w:val="23"/>
          <w:rtl w:val="0"/>
        </w:rPr>
        <w:t xml:space="preserve">, Guillermo Pelgrón y Simón Rodríguez. Fue este último, sin embargo, quien logró calmar por instantes el ímpetu nervioso y rebelde del niño, alojándolo como interno en su casa por orden de la Real Audiencia, lo cual sería la génesis de una gran amistad. Pero ni el apego al mentor ni el ingreso en la milicia fueron suficientes para aquietar al muchacho, y sus tíos decidieron enviarlo a España a continuar su formación.</w:t>
      </w:r>
    </w:p>
    <w:p w:rsidR="00000000" w:rsidDel="00000000" w:rsidP="00000000" w:rsidRDefault="00000000" w:rsidRPr="00000000">
      <w:pPr>
        <w:spacing w:after="0" w:before="0" w:line="240" w:lineRule="auto"/>
        <w:contextualSpacing w:val="0"/>
        <w:jc w:val="both"/>
      </w:pPr>
      <w:r w:rsidDel="00000000" w:rsidR="00000000" w:rsidRPr="00000000">
        <w:rPr>
          <w:rFonts w:ascii="inherit" w:cs="inherit" w:eastAsia="inherit" w:hAnsi="inherit"/>
          <w:b w:val="1"/>
          <w:color w:val="333333"/>
          <w:sz w:val="23"/>
          <w:szCs w:val="23"/>
          <w:rtl w:val="0"/>
        </w:rPr>
        <w:t xml:space="preserve">La estancia en Europa</w:t>
      </w:r>
      <w:r w:rsidDel="00000000" w:rsidR="00000000" w:rsidRPr="00000000">
        <w:rPr>
          <w:rtl w:val="0"/>
        </w:rPr>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Corría el año 1799 cuando Bolívar desembarcó en tierras peninsulares. En Madrid, a pesar de seguir sus estudios, el ambiente de la ciudad le seducía: frecuentaba los salones de lectura, baile y tertulia, y observaba maravillado la corte del reino desde los jardines de Aranjuez, lugar éste que evocaría en sueños delirantes en su lecho de muerte. Vestía de soldado en esos tiempos en los cuales España comenzaba a hablar de Napoleón, y así visitaba al marqués de Ustáriz, hombre culto con quien compartía largas tardes de conversación.</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En una de ellas conoció a María Teresa Rodríguez del Toro, con quien se casaría el 26 de mayo de 1802 en la capilla de San José, en el palacio del duque de Frías. Mientras Bernardo Rodríguez, padre de la muchacha, decidía dar largas al compromiso, Bolívar los siguió hasta Bilbao y aprovechó para viajar a Francia: Bayona, Burdeos y París. Inmediatamente después de la boda, los recién casados se trasladaron a Caracas y, a pesar de los resquemores que canalizaban los criollos a través de sus conspiraciones, Bolívar permaneció junto a su esposa, llevando una vida tranquila. Esta serenidad conyugal, sin embargo, no duraría mucho: María Teresa murió pocos días después de haberse contagiado de fiebre amarilla, en enero de 1803. Bolívar, desilusionado, decidió alejarse y marchó nuevamente a Europa.</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Mientras el caraqueño Francisco de Miranda, desde Estados Unidos y las Antillas, reunía pacientemente apoyos para una expedición militar que diese la independencia al país, los acontecimientos en Venezuela comenzaban a tomar aires de revuelta. Ajeno a todo aquello, Bolívar se reunió con su suegro en Madrid, para trasladarse a París en 1804. A la sombra de Napoleón Bonaparte (quien no tardaría en proclamarse emperador de Francia) se había formado una clase aristócrata, hallada entre la burguesía, que se reunía en los grandes salones a los cuales asistía Bolívar en compañía de Fernando Toro y Fanny du Villars.</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Allí el joven Bolívar, especie de </w:t>
      </w:r>
      <w:r w:rsidDel="00000000" w:rsidR="00000000" w:rsidRPr="00000000">
        <w:rPr>
          <w:rFonts w:ascii="inherit" w:cs="inherit" w:eastAsia="inherit" w:hAnsi="inherit"/>
          <w:b w:val="0"/>
          <w:i w:val="1"/>
          <w:color w:val="333333"/>
          <w:sz w:val="23"/>
          <w:szCs w:val="23"/>
          <w:rtl w:val="0"/>
        </w:rPr>
        <w:t xml:space="preserve">dandy </w:t>
      </w:r>
      <w:r w:rsidDel="00000000" w:rsidR="00000000" w:rsidRPr="00000000">
        <w:rPr>
          <w:rFonts w:ascii="Verdana" w:cs="Verdana" w:eastAsia="Verdana" w:hAnsi="Verdana"/>
          <w:b w:val="0"/>
          <w:color w:val="333333"/>
          <w:sz w:val="23"/>
          <w:szCs w:val="23"/>
          <w:rtl w:val="0"/>
        </w:rPr>
        <w:t xml:space="preserve">americano, se contagiaría poco a poco de las ideas liberales y la literatura que habían inspirado la Revolución Francesa. Era un gran lector y un interlocutor bastante interesado en la política de la actualidad. En esos tiempos conoció al eminente naturalista alemán </w:t>
      </w:r>
      <w:hyperlink r:id="rId6">
        <w:r w:rsidDel="00000000" w:rsidR="00000000" w:rsidRPr="00000000">
          <w:rPr>
            <w:rFonts w:ascii="inherit" w:cs="inherit" w:eastAsia="inherit" w:hAnsi="inherit"/>
            <w:b w:val="0"/>
            <w:color w:val="258cb0"/>
            <w:sz w:val="23"/>
            <w:szCs w:val="23"/>
            <w:u w:val="single"/>
            <w:rtl w:val="0"/>
          </w:rPr>
          <w:t xml:space="preserve">Alexander von Humboldt</w:t>
        </w:r>
      </w:hyperlink>
      <w:r w:rsidDel="00000000" w:rsidR="00000000" w:rsidRPr="00000000">
        <w:rPr>
          <w:rFonts w:ascii="Verdana" w:cs="Verdana" w:eastAsia="Verdana" w:hAnsi="Verdana"/>
          <w:b w:val="0"/>
          <w:color w:val="333333"/>
          <w:sz w:val="23"/>
          <w:szCs w:val="23"/>
          <w:rtl w:val="0"/>
        </w:rPr>
        <w:t xml:space="preserve">, expedicionario y gran conocedor del territorio americano, quien le habló de la madurez de las colonias para la independencia. "Lo que no veo (diría Humboldt) es el hombre que pueda realizarla".</w:t>
      </w:r>
    </w:p>
    <w:p w:rsidR="00000000" w:rsidDel="00000000" w:rsidP="00000000" w:rsidRDefault="00000000" w:rsidRPr="00000000">
      <w:pPr>
        <w:spacing w:after="0" w:before="0" w:line="240" w:lineRule="auto"/>
        <w:contextualSpacing w:val="0"/>
        <w:jc w:val="both"/>
      </w:pPr>
      <w:r w:rsidDel="00000000" w:rsidR="00000000" w:rsidRPr="00000000">
        <w:rPr>
          <w:rFonts w:ascii="Verdana" w:cs="Verdana" w:eastAsia="Verdana" w:hAnsi="Verdana"/>
          <w:b w:val="0"/>
          <w:color w:val="333333"/>
          <w:sz w:val="23"/>
          <w:szCs w:val="23"/>
          <w:rtl w:val="0"/>
        </w:rPr>
        <w:t xml:space="preserve">Su antiguo preceptor, </w:t>
      </w:r>
      <w:hyperlink r:id="rId7">
        <w:r w:rsidDel="00000000" w:rsidR="00000000" w:rsidRPr="00000000">
          <w:rPr>
            <w:rFonts w:ascii="inherit" w:cs="inherit" w:eastAsia="inherit" w:hAnsi="inherit"/>
            <w:b w:val="0"/>
            <w:color w:val="258cb0"/>
            <w:sz w:val="23"/>
            <w:szCs w:val="23"/>
            <w:u w:val="single"/>
            <w:rtl w:val="0"/>
          </w:rPr>
          <w:t xml:space="preserve">Simón Rodríguez</w:t>
        </w:r>
      </w:hyperlink>
      <w:r w:rsidDel="00000000" w:rsidR="00000000" w:rsidRPr="00000000">
        <w:rPr>
          <w:rFonts w:ascii="Verdana" w:cs="Verdana" w:eastAsia="Verdana" w:hAnsi="Verdana"/>
          <w:b w:val="0"/>
          <w:color w:val="333333"/>
          <w:sz w:val="23"/>
          <w:szCs w:val="23"/>
          <w:rtl w:val="0"/>
        </w:rPr>
        <w:t xml:space="preserve">, se hallaba por entonces en Viena; Bolívar, al enterarse, corrió en su búsqueda. Posteriormente el maestro se trasladó a París, y en compañía de Fernando Toro emprendieron un viaje cuyo destino final era Roma. Cruzaron los Alpes caminando hasta Milán, donde se detuvieron el 26 de mayo de 1805 para presenciar la coronación como rey de Italia de Napoleón, a quien Bolívar admiraría siempre. Después visitaron Venecia, Ferrara, Bolonia, Florencia, Perusa y Roma. En esta última ciudad tuvo lugar el llamado </w:t>
      </w:r>
      <w:r w:rsidDel="00000000" w:rsidR="00000000" w:rsidRPr="00000000">
        <w:rPr>
          <w:rFonts w:ascii="inherit" w:cs="inherit" w:eastAsia="inherit" w:hAnsi="inherit"/>
          <w:b w:val="0"/>
          <w:i w:val="1"/>
          <w:color w:val="333333"/>
          <w:sz w:val="23"/>
          <w:szCs w:val="23"/>
          <w:rtl w:val="0"/>
        </w:rPr>
        <w:t xml:space="preserve">Juramento del Monte Sacro</w:t>
      </w:r>
      <w:r w:rsidDel="00000000" w:rsidR="00000000" w:rsidRPr="00000000">
        <w:rPr>
          <w:rFonts w:ascii="Verdana" w:cs="Verdana" w:eastAsia="Verdana" w:hAnsi="Verdana"/>
          <w:b w:val="0"/>
          <w:color w:val="333333"/>
          <w:sz w:val="23"/>
          <w:szCs w:val="23"/>
          <w:rtl w:val="0"/>
        </w:rPr>
        <w:t xml:space="preserve">: en presencia de Simón Rodríguez y Fernando Toro, Simón Bolívar juró solemnemente dedicar su vida y todas sus energías a la liberación de las colonias americanas.</w:t>
      </w:r>
    </w:p>
    <w:p w:rsidR="00000000" w:rsidDel="00000000" w:rsidP="00000000" w:rsidRDefault="00000000" w:rsidRPr="00000000">
      <w:pPr>
        <w:spacing w:after="0" w:before="0" w:line="240" w:lineRule="auto"/>
        <w:contextualSpacing w:val="0"/>
        <w:jc w:val="both"/>
      </w:pPr>
      <w:r w:rsidDel="00000000" w:rsidR="00000000" w:rsidRPr="00000000">
        <w:rPr>
          <w:rFonts w:ascii="inherit" w:cs="inherit" w:eastAsia="inherit" w:hAnsi="inherit"/>
          <w:b w:val="1"/>
          <w:color w:val="333333"/>
          <w:sz w:val="23"/>
          <w:szCs w:val="23"/>
          <w:rtl w:val="0"/>
        </w:rPr>
        <w:t xml:space="preserve">La gestación de un ideal</w:t>
      </w:r>
      <w:r w:rsidDel="00000000" w:rsidR="00000000" w:rsidRPr="00000000">
        <w:rPr>
          <w:rtl w:val="0"/>
        </w:rPr>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Evidentemente, tal propósito y convicciones no habían nacido en Bolívar de forma espontánea o repentina; el fervor del momento y sus conversaciones con importantes intelectuales (empezando por su maestro Simón Rodríguez) le habían hecho comprender la injusticia que entrañaba el sometimiento de América al yugo de España. Tras tener noticia de las fallidas expediciones libertadoras de Francisco de Miranda en Ocumare y la Vela de Coro, Bolívar decidió emprender el viaje de vuelta.</w:t>
      </w:r>
    </w:p>
    <w:p w:rsidR="00000000" w:rsidDel="00000000" w:rsidP="00000000" w:rsidRDefault="00000000" w:rsidRPr="00000000">
      <w:pPr>
        <w:spacing w:after="225" w:before="225" w:line="240" w:lineRule="auto"/>
        <w:contextualSpacing w:val="0"/>
        <w:jc w:val="both"/>
      </w:pPr>
      <w:r w:rsidDel="00000000" w:rsidR="00000000" w:rsidRPr="00000000">
        <w:rPr>
          <w:rFonts w:ascii="Verdana" w:cs="Verdana" w:eastAsia="Verdana" w:hAnsi="Verdana"/>
          <w:b w:val="0"/>
          <w:color w:val="333333"/>
          <w:sz w:val="23"/>
          <w:szCs w:val="23"/>
          <w:rtl w:val="0"/>
        </w:rPr>
        <w:t xml:space="preserve">Tras una corta estancia en Estados Unidos, Bolívar regresó a mediados de 1807 a Caracas, donde hubo de retomar sus antiguas ocupaciones de hacendado. José Antonio Briceño, un vecino de tierras y fincas, le esperaba con un cerco en sus tierras; tal asunto debía resolverse cuanto antes. Pese al fracaso, las incursiones de Miranda habían tenido la virtud de adherir algunos caraqueños al proyecto emancipador; sin embargo, la gran mayoría de los criollos se conformaba con rebelarse pasivamente violando las normas que se dictaban desde España.</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1808 Bolívar se había ya incorporado a las actividades conspirativas. Ese mismo año tuvieron lugar gravísimos sucesos en la metrópoli: Napoleón invadió la península, mantuvo retenidos en Bayona a Carlos IV y a su hijo Fernando VII y dio la corona a su hermano José I Bonaparte. Tal usurpación desencadenó la Guerra de la Independencia Española (1808-1814), convulsa etapa en la que los continuos combates contra el invasor y el rechazo popular al impuesto rey francés ocasionaron un vacío de poder en España, cubierto apenas con el establecimiento en Sevilla de la Junta Suprema de España e Indias (27 de mayo de 1808).</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La situación era propicia para que Martín Tovar y Ponte, entonces alcalde de Caracas, presentara a la Capitanía General un proyecto para crear una junta de gobierno adscrita a la Junta Suprema de Sevilla, expresando así las demandas criollas de participación política. En un comienzo, las autoridades coloniales se mostraron reacias al proyecto, pero posteriormente, ante el vacío de poder que se había producido, decidieron pactar con los conspiradores. Enterado de la situación, Bolívar abrió las puertas de una casa de verano familiar (la Cuadra de Bolívar) para acoger las reuniones. Se negó categóricamente a participar en cualquier alianza; para él, debía clamarse por la emancipación absoluta.</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En las vísperas del jueves santo de 1810, arribaron a la ciudad los comisionados del nuevo Consejo de Regencia de Cádiz, órgano de gobierno que actuaba en la península en sustitución de Fernando VII, tras haber relevado a la Junta Suprema. Fueron recibidos por Vicente Emparan, máxima autoridad colonial en tanto que gobernador y capitán general de Venezuela, pero al día siguiente los criollos lo sitiaron y lo obligaron a dirigirse al cabildo. La mitología venezolana recoge de esta fecha (19 de abril de 1810) el instante en el cual Vicente Emparan se asomó al balcón del cabildo de Caracas para interrogar al pueblo enardecido acerca de su predisposición a continuar aceptando su autoridad, con el clérigo José Cortés de Madariaga detrás de él haciendo señas con el dedo al pueblo para que negasen. Tras un rotundo "¡No!" por parte de la población, Vicente Emparan cedió: "Pues yo tampoco quiero mando".</w:t>
      </w:r>
    </w:p>
    <w:p w:rsidR="00000000" w:rsidDel="00000000" w:rsidP="00000000" w:rsidRDefault="00000000" w:rsidRPr="00000000">
      <w:pPr>
        <w:spacing w:after="225" w:before="225" w:lineRule="auto"/>
        <w:contextualSpacing w:val="0"/>
        <w:jc w:val="both"/>
      </w:pPr>
      <w:r w:rsidDel="00000000" w:rsidR="00000000" w:rsidRPr="00000000">
        <w:rPr>
          <w:rFonts w:ascii="Verdana" w:cs="Verdana" w:eastAsia="Verdana" w:hAnsi="Verdana"/>
          <w:color w:val="333333"/>
          <w:sz w:val="23"/>
          <w:szCs w:val="23"/>
          <w:rtl w:val="0"/>
        </w:rPr>
        <w:t xml:space="preserve">Comenzaba así la famosa revuelta caraqueña que, sin proponérselo, daba inicio al proceso de independencia de Venezuela. Se constituyó la Junta Suprema de Venezuela, órgano gubernativo teóricamente fiel al rey Fernando VII que, entre otras disposiciones, nombró a Simón Bolívar coronel de infantería y le asignó la tarea de viajar a Londres, en compañía de Andrés Bello y Luis López Méndez, en busca de apoyos para el nuevo gobierno.</w:t>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Verdan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iografiasyvidas.com/biografia/b/bello.htm" TargetMode="External"/><Relationship Id="rId6" Type="http://schemas.openxmlformats.org/officeDocument/2006/relationships/hyperlink" Target="http://www.biografiasyvidas.com/biografia/h/humboldt.htm" TargetMode="External"/><Relationship Id="rId7" Type="http://schemas.openxmlformats.org/officeDocument/2006/relationships/hyperlink" Target="http://www.biografiasyvidas.com/biografia/r/rodriguez_simon.htm" TargetMode="External"/></Relationships>
</file>