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Paraguay espera que demanda de Pdvsa no sea un chantaje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i w:val="1"/>
          <w:color w:val="000000"/>
          <w:sz w:val="28"/>
          <w:szCs w:val="28"/>
          <w:highlight w:val="white"/>
          <w:rtl w:val="0"/>
        </w:rPr>
        <w:t xml:space="preserve">El canciller de Paraguay informó que espera que la reciente preción de Pdvsa a que Paraguay pague la deuda que mantiene actualmente no se convierta que “un instrumento de presión y chantaje”</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canciller paraguayo, Eladio Loizaga, declaró este martes que el Gobierno de Paraguay no desea que el pago de la deuda que le exige Venezuela, por la venta de petróleo, se convierta en “un instrumento de presión y chantaje” a su país.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Petróleos de Venezuela (Pdvsa) comunicó la semana pasada a la estatal paraguaya Petropar que entablará una demanda judicial si para el 10 de junio no paga la cantidad que le adeuda, que asciende a 287 millones de dólares.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aviso se produjo después de que Paraguay apoyara la iniciativa del secretario general de la Organización de Estados Americanos (OEA), Luis Almagro, de aplicar la Carta Democrática a Venezuela y después de que el Gobierno paraguayo solicitara una reunión de cancilleres del Mercosur para tratar la crisis venezolana.</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Gobierno paraguayo recalcó que una demanda por parte de Pdvsa va en contra del Acuerdo de Cooperación Energética firmado en 2014 por ambos países para el envío de combustible refinado a Paraguay. Venezuela aceptó una financiación a 15 años, con dos años de gracia y un interés anual del 2% en ese acuerdo, según Paraguay.</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Fonts w:ascii="Arial" w:cs="Arial" w:eastAsia="Arial" w:hAnsi="Arial"/>
          <w:b w:val="0"/>
          <w:sz w:val="28"/>
          <w:szCs w:val="28"/>
          <w:rtl w:val="0"/>
        </w:rPr>
        <w:t xml:space="preserve">El pasado sábado, el titular de Petropar, Eddie Jara, dijo a EFE que en las últimas reuniones entre las dos partes, Pdvsa rechazó la propuesta de una condonación del 50 % de la deuda, planteada por Petropar con base en las quitas (acuerdos entre deudor y acreedores que intentan solucionar situaciones de impago) que la petrolera caribeña hizo a Uruguay y República Dominicana.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