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Título: La incapacidad vive, los apagones siguen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highlight w:val="white"/>
          <w:rtl w:val="0"/>
        </w:rPr>
        <w:t xml:space="preserve">A partir de mañana comienza a regir el nuevo horario de los apagones que se repetirán en todo el país salvo en la Gran Caracas y los estados Vargas, Nueva Esparta, Amazonas y Delta Amacuro. Los cortes serán de tres horas y no se efectuarán entre las 10 de la noche y las 7 de la mañana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El Ministerio de Energía Eléctrica publicó el cronograma del Plan de Administración de Carga, que se aplicará a partir del lunes 6 de junio para mantener los niveles de la Central Hidroeléctrica Simón Bolívar (Guri) ante la intensa sequía producto del fenómeno El Niño.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Este programa comprende interrupciones programadas rotativas en el interior del país por lapsos de tres hora, salvo el período comprendido entre las 10:00 de la noche y las 7:00 de la mañana.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La suspensión temporal del servicio se efectuará de lunes a domingo (</w:t>
      </w:r>
      <w:hyperlink r:id="rId5">
        <w:r w:rsidDel="00000000" w:rsidR="00000000" w:rsidRPr="00000000">
          <w:rPr>
            <w:rFonts w:ascii="Arial" w:cs="Arial" w:eastAsia="Arial" w:hAnsi="Arial"/>
            <w:b w:val="0"/>
            <w:color w:val="0563c1"/>
            <w:sz w:val="28"/>
            <w:szCs w:val="28"/>
            <w:u w:val="single"/>
            <w:rtl w:val="0"/>
          </w:rPr>
          <w:t xml:space="preserve">ver cronograma</w:t>
        </w:r>
      </w:hyperlink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) a través de cinco bloques: A, B,C, D y E, que contienen las parroquias y horarios rotativos.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El Plan de Administración de Carga no se aplica en la Gran Caracas, por ser la sede de los poderes públicos, ni en los estados Vargas, Nueva Esparta, Amazonas y Delta Amacuro.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Para preservar el nivel del Guri, que aporta más del 60% de la electricidad que se consume en el país, el Ejecutivo implementó además un plan especial que declara los días miércoles, jueves y viernes como no laborables para el sector público, decretó el viernes escolar, actualizó el huso horario y promueve la aplicación de prácticas de uso racional y eficiente de la energía por parte de los usuarios.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ppee.gob.ve/download/PLAN-DE-ADMINISTRACION-DE-CARGAS-FINAL-6-JUNIO-FINAL.pdf" TargetMode="External"/></Relationships>
</file>