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pPr>
      <w:r w:rsidDel="00000000" w:rsidR="00000000" w:rsidRPr="00000000">
        <w:rPr>
          <w:rFonts w:ascii="Arial" w:cs="Arial" w:eastAsia="Arial" w:hAnsi="Arial"/>
          <w:b w:val="1"/>
          <w:sz w:val="32"/>
          <w:szCs w:val="32"/>
          <w:rtl w:val="0"/>
        </w:rPr>
        <w:t xml:space="preserve">Título: Gobierno extiende racionamiento eléctrico en el interior del país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i w:val="1"/>
          <w:color w:val="000000"/>
          <w:sz w:val="28"/>
          <w:szCs w:val="28"/>
          <w:highlight w:val="white"/>
          <w:rtl w:val="0"/>
        </w:rPr>
        <w:t xml:space="preserve">Luis Motta Domínguez, ministro de Energía Eléctrica, informó a través de un comunicado que el Plan de Administración de Carga será prorrogado a partir del próximo lunes</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Luis Motta Domínguez, ministro de Energía Eléctrica, informó a través de un comunicado que el </w:t>
      </w:r>
      <w:hyperlink r:id="rId5">
        <w:r w:rsidDel="00000000" w:rsidR="00000000" w:rsidRPr="00000000">
          <w:rPr>
            <w:rFonts w:ascii="Arial" w:cs="Arial" w:eastAsia="Arial" w:hAnsi="Arial"/>
            <w:b w:val="0"/>
            <w:color w:val="0563c1"/>
            <w:sz w:val="28"/>
            <w:szCs w:val="28"/>
            <w:u w:val="single"/>
            <w:rtl w:val="0"/>
          </w:rPr>
          <w:t xml:space="preserve">Plan de Administración de Carga, cuyo plazo era hasta este viernes 3 de junio, se extenderá a partir del próximo lunes.</w:t>
        </w:r>
      </w:hyperlink>
    </w:p>
    <w:p w:rsidR="00000000" w:rsidDel="00000000" w:rsidP="00000000" w:rsidRDefault="00000000" w:rsidRPr="00000000">
      <w:pPr>
        <w:spacing w:after="100" w:before="100" w:line="240" w:lineRule="auto"/>
        <w:contextualSpacing w:val="0"/>
        <w:jc w:val="both"/>
      </w:pPr>
      <w:hyperlink r:id="rId6">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Indica el texto, publicado en el diario Últimas Noticias, quela prórroga se mantendrá dependiendo de las condiciones climáticas y el nivel del embalse de Guri, con la intensión de preservar la operatividad de la central hidroeléctrica.</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De igual manera señala que no habrá ninguna modificación en el esquema que se viene aplicando de tres horas sin servicio eléctrico. Reitera, además que en el horario comprendido de 10.00 de la noche a 7.00 de la mañana no habrá suspensión del servicio eléctrico.</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hyperlink r:id="rId7">
        <w:r w:rsidDel="00000000" w:rsidR="00000000" w:rsidRPr="00000000">
          <w:rPr>
            <w:rFonts w:ascii="Arial" w:cs="Arial" w:eastAsia="Arial" w:hAnsi="Arial"/>
            <w:b w:val="0"/>
            <w:color w:val="0563c1"/>
            <w:sz w:val="28"/>
            <w:szCs w:val="28"/>
            <w:u w:val="single"/>
            <w:rtl w:val="0"/>
          </w:rPr>
          <w:t xml:space="preserve">Ayer el ministro Motta Domínguez indicó que la sequía persiste en Guri.</w:t>
        </w:r>
      </w:hyperlink>
      <w:hyperlink r:id="rId8">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“Camaradas! Durante el fin de semana se mantuvo la supervisión de la represa, la sequía persiste…”, escribió a través de su cuenta en Twitter luego de una inspección.</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Aunque no dio detalles sobre el nivel del embalse, publicó fotografías que dan fe de lo árido de la zona.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Por su parte, el Ministerio de Educación también prorrogó la suspensión de clases los viernes, incluyendo el 3 y 10 de junio para contribuir al ahorro eléctrico.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averdad.com/economia/98682-apagones-programados-seguiran-hasta-nuevo-aviso.html" TargetMode="External"/><Relationship Id="rId6" Type="http://schemas.openxmlformats.org/officeDocument/2006/relationships/hyperlink" Target="http://www.laverdad.com/economia/98682-apagones-programados-seguiran-hasta-nuevo-aviso.html" TargetMode="External"/><Relationship Id="rId7" Type="http://schemas.openxmlformats.org/officeDocument/2006/relationships/hyperlink" Target="http://www.laverdad.com/economia/98647-el-guri-sigue-seco.html" TargetMode="External"/><Relationship Id="rId8" Type="http://schemas.openxmlformats.org/officeDocument/2006/relationships/hyperlink" Target="http://www.laverdad.com/economia/98647-el-guri-sigue-seco.html" TargetMode="External"/></Relationships>
</file>