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TISP 问卷第一轮机械筛查方案汇报</w:t>
      </w:r>
    </w:p>
    <w:p>
      <w:pPr>
        <w:jc w:val="center"/>
      </w:pPr>
      <w:r>
        <w:drawing>
          <wp:inline distT="0" distB="0" distL="0" distR="0">
            <wp:extent cx="4762500" cy="2609850"/>
            <wp:effectExtent t="0" r="0" b="0" l="0"/>
            <wp:docPr id="1" name="screening-flowchart" descr="自动机械筛查与人工复核流程" title="问卷筛查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17"/>
          <w:szCs w:val="17"/>
        </w:rPr>
        <w:t xml:space="preserve">图：本项目采用“自动机械筛查—人工复核—最终分类”的总体流程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汇报目的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这次汇报只讨论一个问题：我们如何对 TISP 新问卷数据做第一轮机械筛查。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本轮工作的目标不是直接删除“看起来可疑”的人，而是用统一、透明、可复现的规则，把可能存在粗心作答、随机作答或连续同选的记录标记出来，为下一轮人工复核准备名单。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第一轮结束后，所有原始记录仍然保留。任何记录是否最终判为无效，要等第二轮人工复核后再决定。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一、先说清楚：这次项目和学长代码是什么关系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学长给我们的 有效问卷筛查.py 来自另一份问卷、另一套题目和另一份数据。它不能直接运行在 TISP 数据上，但可以作为“程序结构参考”。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我们真正借鉴的是它的思路：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```text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先用客观指标自动初筛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↓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给可疑记录标记异常类型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↓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再人工复核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↓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最后决定保留、待定或无效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我们不能直接照搬的内容包括：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题目列名；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- 150–2000 秒的作答时间阈值；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马氏距离 8.5；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奇偶一致性 0.10 或 0.25 的具体使用方式；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Longstring 连续 12 题；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访谈意愿和联系方式等人工复核项目。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原因是 TISP 的问卷结构不同，而且当前公开 CSV 没有每位受访者的作答时间，也没有访谈联系方式。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## 二、我们当前处理的是什么数据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当前 `dataset.csv` 包含：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| 项目 | 数量/情况 |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|---|---:|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| 受访者 | 71,922 人 |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| 国家 | 68 个 |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| 变量 | 126 列 |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| 个体作答时间 | 当前文件没有 |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| 开放题 | 每名受访者随机展示其中一道，因此另一道为空是正常设计 |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目前基础审计发现：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`CONSENT` 全部为同意；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没有发现年龄小于 18 岁或大于 100 岁的记录；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有少量注意力题编码需要标记并核对；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两道开放题各约一半为空，这主要是随机分流造成的，不能把空白直接当成无效；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当前没有个体作答时间，因此不能执行“答题太快/太慢”筛查。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## 三、第一轮机械筛查的总流程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```text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保留完整原始数据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按 COUNTRY_CODE 在程序内部自动分组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排除背景变量，不让它们进入作答模式计算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计算注意力题、马氏距离、奇偶一致性、Longstring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给每个人增加指标分数和触发原因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生成全部记录的机械筛查总表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把触发记录交给第二轮人工复核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这一轮的结果叫“机械筛查标记”，不是“最终无效样本”。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四、国家、年龄、性别到底怎么处理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1. 国家不能当成一道题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国家不是回答内容，不会被放进“是否一直选 A”的题目序列里。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但国家也不能完全不管，因为不同国家可能有不同的答题风格、文化背景和量表使用习惯。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因此我们采用：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```text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完整数据保留在一张表中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↓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程序按 COUNTRY_CODE 分组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↓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每个国家内部比较受访者的作答模式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↓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把结果贴回原来的总表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我们不会手工把数据拆成 68 个文件，也不会删除国家列。代码中的 `groupby("COUNTRY_CODE")` 就能完成这件事。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### 2. 年龄、性别、教育、收入不进入“乱选”计算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这些变量仍然保留，因为后续研究可能需要它们做：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样本描述；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国家样本比较；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回归模型中的控制变量；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人工复核时的背景参考。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但它们不用于判断某人有没有连续选择相同答案。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### 3. 三类变量要分开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| 类型 | 例子 | 第一轮处理方式 |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|---|---|---|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| 背景变量 | 国家、性别、年龄、教育、收入 | 保留，但不进入作答模式指标 |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| 注意力题 | `ATTCHECK_NUMBER`、`ATTCHECK_RES` | 单独按正确答案判断 |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| 正式封闭式题目 | `TRUST_SCI_*`、`SCIPOP_*` 等 | 用于马氏距离、奇偶一致性和 Longstring |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## 五、哪些题目进入第一轮机械筛查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### 1. 马氏距离使用的核心 27 题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我们把四组相对稳定的核心量表合并为一个“作答画像”：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| 题组 | 题数 | 含义 |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|---|---:|---|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| `TRUST_SCI_*` | 12 | 对科学家可信度的评价 |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| `SCIPOP_*` | 8 | 科学相关民粹态度 |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| `OUTSPOKEN_*` | 3 | 科学议题表达意愿 |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| `SDO_*` | 4 | 社会支配倾向 |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| 合计 | 27 | 核心作答画像 |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这 27 题不是为了计算某个研究结论，而是为了观察一个人的整体作答模式是否极端偏离同国其他人。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### 2. 奇偶一致性使用的题组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奇偶一致性只在题数足够、结构相对清楚的量表中计算：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`TRUST_SCI_*`；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`SCIPOP_*`。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不把国家、人口学题、开放题、单题题目混进去，也不把不同题块强行连接。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### 3. Longstring 使用的题块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Longstring 只在同一个连续题块内计算。当前计划纳入长度至少为 6 的题块：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`SCIINFO_*`：10 题；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`NORMPERC_*`：6 题；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`TRUST_SCI_*`：12 题；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`SCIPOP_*`：8 题；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`CLIM_EMO_*`：9 题；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`CLIM_GOV_*`：7 题；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`CLIM_WEATHERPAST_*`：6 题；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`CLIM_WEATHERFUTU_*`：6 题。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4 题或 5 题的短题块暂不作为 Longstring 主判断，因为题块太短时，连续相同答案很容易只是正常回答。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## 六、四类机械指标具体怎么做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## 6.1 注意力题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TISP 中有两道注意力检查：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1. `ATTCHECK_NUMBER` 应填写 `213`；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2. `ATTCHECK_RES` 应选择编码 `1`，对应题目要求的指定选项。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代码会生成：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`attention_number_fail`：数字题不是 213；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`attention_result_fail`：第二道注意力题不是 1；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`attention_missing`：注意力题缺失；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`attention_flag`：上述任一情况出现。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注意力题是较强的机械信号，但本轮仍只标记，不删除。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## 6.2 马氏距离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### 它想解决什么问题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Longstring 只能看“是否连续选同一个答案”。但有些人不一定全选 A，而是每道题都随机跳着选，整体回答模式仍然非常异常。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马氏距离用来判断：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&gt; 某个人在 27 道核心量表上的整体回答，是否明显偏离本国大多数人的回答模式。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### 为什么必须按国家计算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如果把 68 个国家混在一起，国家之间正常的文化差异、信任水平差异和量表使用习惯会被误认为异常。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所以计算方式是：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```text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对每个国家单独处理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用这个国家的 27 题数据计算平均模式和协方差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计算该国每个人的马氏距离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只和本国的距离分布比较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计算前怎么处理 27 题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将特殊缺失编码转换为缺失值；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在本国范围内对每道题进行标准化；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缺失值用本国该题的中位数临时填补，仅用于计算距离；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使用本国 27 题的协方差矩阵；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加入很小的正则项，避免矩阵无法求逆；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 得到每个人的 md_core_score。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阈值为什么不直接用学长的 8.5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学长的 8.5 是在另一份问卷、另一组题目和另一种样本结构下得到的。TISP 的题目数量、国家结构和量表组成不同，直接照搬没有统计依据。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本次阈值方案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对于每个国家：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```text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取该国马氏距离分布的 99.5% 分位点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↓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超过这个分位点的人标记为 md_flag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这个规则的含义不是“超过某个绝对标准就一定无效”，而是：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&gt; 在本国样本中，作答画像处于最极端的约 0.5%，值得进入下一轮复核。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## 6.3 奇偶一致性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### 它想解决什么问题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把同一量表按题目顺序拆成两半：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```text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奇数位置题目：第1、3、5、7……题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偶数位置题目：第2、4、6、8……题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然后计算一个人奇数题和偶数题回答模式的相关系数。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如果相关系数极低，说明他的回答模式可能非常不稳定，或者存在随机作答倾向。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阈值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沿用学长研究文字中的相对宽松标准：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```text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 &lt; 0.10 → odd_even_flag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### 为什么它不能单独判无效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TISP 的部分量表包含多个理论维度，题目之间不一定高度相似。因此一个真实认真作答的人，奇偶相关也可能不高。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所以奇偶一致性只是辅助信号：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单独触发：进入低优先级复核；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与 Longstring、马氏距离或注意力题同时触发：优先级提高；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 不因为奇偶相关低就直接删除。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## 6.4 Longstring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### 它想解决什么问题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检查受访者是否在一个连续题块里机械地重复选择同一个选项，例如：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```text</w:t>
      </w:r>
    </w:p>
    <w:p>
      <w:pPr>
        <w:shd w:fill="F3F5F7" w:val="clear"/>
      </w:pPr>
      <w:r>
        <w:rPr>
          <w:rFonts w:ascii="Consolas" w:cs="Consolas" w:eastAsia="Consolas" w:hAnsi="Consolas"/>
          <w:sz w:val="18"/>
          <w:szCs w:val="18"/>
        </w:rPr>
        <w:t xml:space="preserve">1, 1, 1, 1, 1, 1, 1, 1, 1, 1, 3, 4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阈值为什么不能固定为 12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TISP 各题块长度不同：有 6 题、8 题、9 题、10 题、12 题。如果统一要求连续 12 题，8 题题块永远不可能被识别。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本次阈值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按题块长度的 80% 设定：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题块长度</w:t>
            </w:r>
          </w:p>
        </w:tc>
        <w:tc>
          <w:tcPr>
            <w:tcW w:type="dxa" w:w="4873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连续相同答案达到以下长度时标记</w:t>
            </w:r>
          </w:p>
        </w:tc>
      </w:tr>
      <w:tr>
        <w:tc>
          <w:tcPr>
            <w:tcW w:type="dxa" w:w="4873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4873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≥10</w:t>
            </w:r>
          </w:p>
        </w:tc>
      </w:tr>
      <w:tr>
        <w:tc>
          <w:tcPr>
            <w:tcW w:type="dxa" w:w="4873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4873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≥8</w:t>
            </w:r>
          </w:p>
        </w:tc>
      </w:tr>
      <w:tr>
        <w:tc>
          <w:tcPr>
            <w:tcW w:type="dxa" w:w="4873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873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≥8</w:t>
            </w:r>
          </w:p>
        </w:tc>
      </w:tr>
      <w:tr>
        <w:tc>
          <w:tcPr>
            <w:tcW w:type="dxa" w:w="4873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873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≥7</w:t>
            </w:r>
          </w:p>
        </w:tc>
      </w:tr>
      <w:tr>
        <w:tc>
          <w:tcPr>
            <w:tcW w:type="dxa" w:w="4873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873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≥6</w:t>
            </w:r>
          </w:p>
        </w:tc>
      </w:tr>
      <w:tr>
        <w:tc>
          <w:tcPr>
            <w:tcW w:type="dxa" w:w="4873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873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≥5</w:t>
            </w:r>
          </w:p>
        </w:tc>
      </w:tr>
    </w:tbl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缺失值会打断连续序列，不能把缺失题目跳过去再连接前后答案。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需要特别注意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连续同选只是可疑信号，不等于无效。例如某人确实对一组问题全部持相同态度，也可能出现连续相同答案。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七、如何综合四类信号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每个人都会获得以下信息：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是否通过注意力题；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马氏距离分数和是否超过本国阈值；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两个量表的奇偶相关系数；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每个题块的最长连续相同答案；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触发了哪些指标。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代码只生成标记，不生成“最终无效”结论。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可以设置一个机械复核优先级：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c>
          <w:tcPr>
            <w:tcW w:type="dxa" w:w="3248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优先级</w:t>
            </w:r>
          </w:p>
        </w:tc>
        <w:tc>
          <w:tcPr>
            <w:tcW w:type="dxa" w:w="3248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条件</w:t>
            </w:r>
          </w:p>
        </w:tc>
        <w:tc>
          <w:tcPr>
            <w:tcW w:type="dxa" w:w="32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3248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  <w:tc>
          <w:tcPr>
            <w:tcW w:type="dxa" w:w="3248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注意力题异常，或多个指标同时异常</w:t>
            </w:r>
          </w:p>
        </w:tc>
        <w:tc>
          <w:tcPr>
            <w:tcW w:type="dxa" w:w="32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优先进入人工复核</w:t>
            </w:r>
          </w:p>
        </w:tc>
      </w:tr>
      <w:tr>
        <w:tc>
          <w:tcPr>
            <w:tcW w:type="dxa" w:w="3248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3248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马氏距离或 Longstring 单独异常</w:t>
            </w:r>
          </w:p>
        </w:tc>
        <w:tc>
          <w:tcPr>
            <w:tcW w:type="dxa" w:w="32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需要结合完整作答查看</w:t>
            </w:r>
          </w:p>
        </w:tc>
      </w:tr>
      <w:tr>
        <w:tc>
          <w:tcPr>
            <w:tcW w:type="dxa" w:w="3248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低</w:t>
            </w:r>
          </w:p>
        </w:tc>
        <w:tc>
          <w:tcPr>
            <w:tcW w:type="dxa" w:w="3248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只有奇偶一致性异常</w:t>
            </w:r>
          </w:p>
        </w:tc>
        <w:tc>
          <w:tcPr>
            <w:tcW w:type="dxa" w:w="32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作为辅助参考</w:t>
            </w:r>
          </w:p>
        </w:tc>
      </w:tr>
      <w:tr>
        <w:tc>
          <w:tcPr>
            <w:tcW w:type="dxa" w:w="3248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无标记</w:t>
            </w:r>
          </w:p>
        </w:tc>
        <w:tc>
          <w:tcPr>
            <w:tcW w:type="dxa" w:w="3248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未触发任何指标</w:t>
            </w:r>
          </w:p>
        </w:tc>
        <w:tc>
          <w:tcPr>
            <w:tcW w:type="dxa" w:w="32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暂无机械异常信号</w:t>
            </w:r>
          </w:p>
        </w:tc>
      </w:tr>
    </w:tbl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这里的“高/中/低”只是人工复核优先级，不是有效/无效分类。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八、为什么这一轮不做作答时间筛查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学长的方案中有作答时间筛查，但当前 TISP CSV 没有每位受访者的开始时间、结束时间或总时长。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因此我们不能：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把预测试平均 14 分钟当成每个人的时间；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自己编造 150 秒或 2000 秒阈值；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用没有记录的时间去判定样本无效。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汇报和论文中应明确写：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&gt; 由于公开数据未提供个体作答时长，本研究第一轮机械筛查不实施作答时长判定。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九、第一轮最终要生成什么文件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1. 机械筛查总表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保留所有原始列和所有记录，新增：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row_id；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注意力题标记；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马氏距离及本国阈值；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奇偶相关系数；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各题块 Longstring 分数；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每项指标的 flag；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flag_count；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trigger_reason；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review_priority。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2. 各国汇总表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每个国家统计：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样本量；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注意力题异常人数；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马氏距离异常人数；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奇偶一致性异常人数；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Longstring 异常人数；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至少触发一个指标的人数；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各类异常比例。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3. 规则说明文件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记录：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哪些变量进入计算；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哪些变量被排除；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国家如何分组；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各指标公式；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阈值及理由；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缺失值如何处理；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为什么没有时间筛查；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为什么本轮不删除数据。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十、我们接下来的实施顺序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第一步：确定题目清单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把所有进入计算的变量写成代码中的固定列表，避免用模糊的“所有数字列”。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第二步：写机械筛查脚本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脚本只做四件事：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按国家计算注意力题标记；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按国家计算 27 题马氏距离；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计算 TRUST_SCI 和 SCIPOP 的奇偶一致性；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对指定题块计算 Longstring。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第三步：检查指标分布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运行后查看：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每个国家有多少人触发；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是否有国家异常比例特别高；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Longstring 是否集中在某个题块；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马氏距离阈值是否合理；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是否出现大量无法计算的记录。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第四步：冻结第一轮结果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确认结果表没有删行、没有删列、没有改变原始答案，只增加了筛查指标和原因。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第五步：再进入第二轮人工复核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第二轮才查看开放题内容、完整作答模式和多个指标是否同时异常，并决定保留、待定或无效。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十一、组员最容易问的几个问题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问：为什么不把性别、年龄放进马氏距离？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因为我们要判断的是“回答题目时是否乱答”，不是判断一个人的人口学特征是否异常。年龄和性别不是量表作答模式。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问：为什么还要按国家分组？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因为国家会影响平均回答水平和作答风格。分组是为了公平比较，不是为了把国家当作一道题。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问：为什么不用学长的 8.5？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因为 8.5 来源于不同问卷、不同题数和不同样本结构。我们使用每个国家自己的极端分布确定阈值，更符合当前数据。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问：连续选同一个答案是不是一定无效？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不是。Longstring 只是自动提醒，必须结合其他指标和人工复核。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问：开放题空白是不是无效？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不是。TISP 的问卷随机只给每人展示其中一道开放题，另一道空白是正常设计。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问：第一轮是不是要删掉异常记录？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不是。本轮只新增标记，所有人都保留。删除或最终判无效属于第二轮人工复核后的决定。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十二、最后用一句话概括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我们要做的不是“用一个阈值找出坏问卷”，而是：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&gt; 在保留全部数据的前提下，按国家、按合理题块，用注意力题、马氏距离、奇偶一致性和 Longstring 建立一套透明的第一轮异常作答标记系统，再把标记结果交给第二轮人工复核。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7F8C8D"/>
        <w:sz w:val="16"/>
        <w:szCs w:val="16"/>
      </w:rPr>
      <w:t xml:space="preserve">TISP 第一轮机械筛查方案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Microsoft YaHei" w:cs="Microsoft YaHei" w:eastAsia="Microsoft YaHei" w:hAnsi="Microsoft YaHe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9a34e7981f5f21e40686bff0d481057d2b6379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2026-07-21T06:16:10.888Z</dcterms:created>
  <dcterms:modified xsi:type="dcterms:W3CDTF">2026-07-21T06:16:10.890Z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