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Test Plan </w:t>
      </w:r>
      <w:r>
        <w:rPr>
          <w:rFonts w:cs="Times New Roman" w:ascii="Times New Roman" w:hAnsi="Times New Roman"/>
          <w:b/>
          <w:bCs/>
        </w:rPr>
        <w:t>Group 1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Currency Conversion Application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UMGC CMSC 495 Section 6380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Elizabeth Bloss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Jackson Perry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Carl Blocker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Jonah Kiplimo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  <w:r>
        <w:br w:type="page"/>
      </w:r>
    </w:p>
    <w:p>
      <w:pPr>
        <w:pStyle w:val="Heading1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CMSC495 Currency Converter – Comprehensive Test Plan</w:t>
      </w:r>
    </w:p>
    <w:p>
      <w:pPr>
        <w:pStyle w:val="Heading2"/>
        <w:rPr/>
      </w:pPr>
      <w:r>
        <w:rPr/>
        <w:t>1. Objective and Scope</w:t>
      </w:r>
    </w:p>
    <w:p>
      <w:pPr>
        <w:pStyle w:val="BodyText"/>
        <w:rPr/>
      </w:pPr>
      <w:r>
        <w:rPr/>
        <w:t>This test plan is designed to ensure complete coverage of the CMSC495 Flask-based currency converter application. The system is composed of a web-based user interface, a backend built on Flask, and supporting services including a database (PostgreSQL) and external API calls for currency rates.</w:t>
      </w:r>
    </w:p>
    <w:p>
      <w:pPr>
        <w:pStyle w:val="Heading3"/>
        <w:rPr/>
      </w:pPr>
      <w:r>
        <w:rPr/>
        <w:t>1.1 Testing Objectives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Validate correctness of isolated components (</w:t>
      </w:r>
      <w:r>
        <w:rPr>
          <w:rStyle w:val="Strong"/>
        </w:rPr>
        <w:t>Unit Testing</w:t>
      </w:r>
      <w:r>
        <w:rPr/>
        <w:t>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Ensure functional integration of system components (</w:t>
      </w:r>
      <w:r>
        <w:rPr>
          <w:rStyle w:val="Strong"/>
        </w:rPr>
        <w:t>Integration Testing</w:t>
      </w:r>
      <w:r>
        <w:rPr/>
        <w:t>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Verify user workflows behave as expected (</w:t>
      </w:r>
      <w:r>
        <w:rPr>
          <w:rStyle w:val="Strong"/>
        </w:rPr>
        <w:t>Functional Testing</w:t>
      </w:r>
      <w:r>
        <w:rPr/>
        <w:t>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Prepare for real-world use through load and boundary condition testing (</w:t>
      </w:r>
      <w:r>
        <w:rPr>
          <w:rStyle w:val="Strong"/>
        </w:rPr>
        <w:t>Parametric Testing</w:t>
      </w:r>
      <w:r>
        <w:rPr/>
        <w:t>)</w:t>
      </w:r>
    </w:p>
    <w:p>
      <w:pPr>
        <w:pStyle w:val="Heading3"/>
        <w:rPr/>
      </w:pPr>
      <w:r>
        <w:rPr/>
        <w:t>1.2 Out of Scope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Performance and stress testing with load simulation tools (e.g., Locust) is out of scope for this </w:t>
      </w:r>
      <w:r>
        <w:rPr/>
        <w:t>test plan</w:t>
      </w:r>
      <w:r>
        <w:rPr/>
        <w:t>.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>2. Resources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Testing Framework:</w:t>
      </w:r>
      <w:r>
        <w:rPr/>
        <w:t xml:space="preserve"> Pytest </w:t>
      </w:r>
      <w:r>
        <w:rPr/>
        <w:t xml:space="preserve">and </w:t>
      </w:r>
      <w:r>
        <w:rPr/>
        <w:t>pytest-cov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Test Runners:</w:t>
      </w:r>
      <w:r>
        <w:rPr/>
        <w:t xml:space="preserve"> Local machine, GitHub Actions CI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Test Environment: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Python 3.12 virtual environment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PostgreSQL test database or SQLite in-memory for unit/integration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Flask in test mode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Dependencies:</w:t>
      </w:r>
      <w:r>
        <w:rPr/>
        <w:t xml:space="preserve"> Listed in </w:t>
      </w:r>
      <w:r>
        <w:rPr>
          <w:rStyle w:val="SourceText"/>
        </w:rPr>
        <w:t>requirements.txt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>3. Test Environment Configuration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Install dependencies:</w:t>
      </w:r>
    </w:p>
    <w:p>
      <w:pPr>
        <w:pStyle w:val="PreformattedText"/>
        <w:numPr>
          <w:ilvl w:val="0"/>
          <w:numId w:val="0"/>
        </w:numPr>
        <w:spacing w:before="0" w:after="283"/>
        <w:ind w:hanging="0" w:start="0"/>
        <w:rPr/>
      </w:pPr>
      <w:r>
        <w:rPr>
          <w:rStyle w:val="SourceText"/>
        </w:rPr>
        <w:t>pip install -r requirements.txt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Set environment variables for </w:t>
      </w:r>
      <w:r>
        <w:rPr>
          <w:rStyle w:val="SourceText"/>
        </w:rPr>
        <w:t>.env.test</w:t>
      </w:r>
      <w:r>
        <w:rPr/>
        <w:t>:</w:t>
      </w:r>
    </w:p>
    <w:p>
      <w:pPr>
        <w:pStyle w:val="PreformattedText"/>
        <w:numPr>
          <w:ilvl w:val="0"/>
          <w:numId w:val="0"/>
        </w:numPr>
        <w:ind w:hanging="0" w:start="0"/>
        <w:rPr/>
      </w:pPr>
      <w:r>
        <w:rPr>
          <w:rStyle w:val="SourceText"/>
        </w:rPr>
        <w:t>FLASK_ENV=test</w:t>
      </w:r>
    </w:p>
    <w:p>
      <w:pPr>
        <w:pStyle w:val="PreformattedText"/>
        <w:numPr>
          <w:ilvl w:val="0"/>
          <w:numId w:val="0"/>
        </w:numPr>
        <w:ind w:hanging="0" w:start="0"/>
        <w:rPr/>
      </w:pPr>
      <w:r>
        <w:rPr>
          <w:rStyle w:val="SourceText"/>
        </w:rPr>
        <w:t>DATABASE_URL=sqlite:///test.db</w:t>
      </w:r>
    </w:p>
    <w:p>
      <w:pPr>
        <w:pStyle w:val="PreformattedText"/>
        <w:numPr>
          <w:ilvl w:val="0"/>
          <w:numId w:val="0"/>
        </w:numPr>
        <w:spacing w:before="0" w:after="283"/>
        <w:ind w:hanging="0" w:start="0"/>
        <w:rPr/>
      </w:pPr>
      <w:r>
        <w:rPr>
          <w:rStyle w:val="SourceText"/>
        </w:rPr>
        <w:t>APP_ID=fake_app_id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Run all tests with coverage:</w:t>
      </w:r>
    </w:p>
    <w:p>
      <w:pPr>
        <w:pStyle w:val="PreformattedText"/>
        <w:numPr>
          <w:ilvl w:val="0"/>
          <w:numId w:val="0"/>
        </w:numPr>
        <w:spacing w:before="0" w:after="283"/>
        <w:ind w:hanging="0" w:start="0"/>
        <w:rPr/>
      </w:pPr>
      <w:r>
        <w:rPr>
          <w:rStyle w:val="SourceText"/>
        </w:rPr>
        <w:t>pytest --cov=. tests/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>4. Test Case Inventory</w:t>
      </w:r>
    </w:p>
    <w:p>
      <w:pPr>
        <w:pStyle w:val="Heading3"/>
        <w:rPr/>
      </w:pPr>
      <w:r>
        <w:rPr/>
        <w:t>4.1 Unit Tests</w:t>
      </w:r>
    </w:p>
    <w:tbl>
      <w:tblPr>
        <w:tblW w:w="932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801"/>
        <w:gridCol w:w="3185"/>
        <w:gridCol w:w="2904"/>
        <w:gridCol w:w="2430"/>
      </w:tblGrid>
      <w:tr>
        <w:trPr/>
        <w:tc>
          <w:tcPr>
            <w:tcW w:w="80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ID</w:t>
            </w:r>
          </w:p>
        </w:tc>
        <w:tc>
          <w:tcPr>
            <w:tcW w:w="318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Purpose</w:t>
            </w:r>
          </w:p>
        </w:tc>
        <w:tc>
          <w:tcPr>
            <w:tcW w:w="290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Input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Expected Output</w:t>
            </w:r>
          </w:p>
        </w:tc>
      </w:tr>
      <w:tr>
        <w:trPr/>
        <w:tc>
          <w:tcPr>
            <w:tcW w:w="80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UT01</w:t>
            </w:r>
          </w:p>
        </w:tc>
        <w:tc>
          <w:tcPr>
            <w:tcW w:w="31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Validate logging of events</w:t>
            </w:r>
          </w:p>
        </w:tc>
        <w:tc>
          <w:tcPr>
            <w:tcW w:w="290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valid form + route/IP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VisitorLog in DB</w:t>
            </w:r>
          </w:p>
        </w:tc>
      </w:tr>
      <w:tr>
        <w:trPr/>
        <w:tc>
          <w:tcPr>
            <w:tcW w:w="80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UT02</w:t>
            </w:r>
          </w:p>
        </w:tc>
        <w:tc>
          <w:tcPr>
            <w:tcW w:w="31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Log event with missing fields</w:t>
            </w:r>
          </w:p>
        </w:tc>
        <w:tc>
          <w:tcPr>
            <w:tcW w:w="290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event_type only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TypeError</w:t>
            </w:r>
          </w:p>
        </w:tc>
      </w:tr>
      <w:tr>
        <w:trPr/>
        <w:tc>
          <w:tcPr>
            <w:tcW w:w="80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UT03</w:t>
            </w:r>
          </w:p>
        </w:tc>
        <w:tc>
          <w:tcPr>
            <w:tcW w:w="31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Handle long user-agent input</w:t>
            </w:r>
          </w:p>
        </w:tc>
        <w:tc>
          <w:tcPr>
            <w:tcW w:w="290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UA &gt; 255 chars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Truncated or accepted</w:t>
            </w:r>
          </w:p>
        </w:tc>
      </w:tr>
      <w:tr>
        <w:trPr/>
        <w:tc>
          <w:tcPr>
            <w:tcW w:w="80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UT04</w:t>
            </w:r>
          </w:p>
        </w:tc>
        <w:tc>
          <w:tcPr>
            <w:tcW w:w="31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Check IP and route storage</w:t>
            </w:r>
          </w:p>
        </w:tc>
        <w:tc>
          <w:tcPr>
            <w:tcW w:w="290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IP + route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Log with correct data</w:t>
            </w:r>
          </w:p>
        </w:tc>
      </w:tr>
      <w:tr>
        <w:trPr/>
        <w:tc>
          <w:tcPr>
            <w:tcW w:w="80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UT05</w:t>
            </w:r>
          </w:p>
        </w:tc>
        <w:tc>
          <w:tcPr>
            <w:tcW w:w="31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Calculate USD→EUR correctly</w:t>
            </w:r>
          </w:p>
        </w:tc>
        <w:tc>
          <w:tcPr>
            <w:tcW w:w="290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base=USD, target=EUR, 100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90.0 (mocked rate)</w:t>
            </w:r>
          </w:p>
        </w:tc>
      </w:tr>
      <w:tr>
        <w:trPr/>
        <w:tc>
          <w:tcPr>
            <w:tcW w:w="80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UT06</w:t>
            </w:r>
          </w:p>
        </w:tc>
        <w:tc>
          <w:tcPr>
            <w:tcW w:w="31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Unsupported currency handling</w:t>
            </w:r>
          </w:p>
        </w:tc>
        <w:tc>
          <w:tcPr>
            <w:tcW w:w="290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base=USD, target=XXX</w:t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KeyError or ValueError</w:t>
            </w:r>
          </w:p>
        </w:tc>
      </w:tr>
    </w:tbl>
    <w:p>
      <w:pPr>
        <w:pStyle w:val="Heading3"/>
        <w:rPr/>
      </w:pPr>
      <w:r>
        <w:rPr/>
        <w:t>4.2 Integration Tests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708"/>
        <w:gridCol w:w="2144"/>
        <w:gridCol w:w="2141"/>
        <w:gridCol w:w="2719"/>
        <w:gridCol w:w="2260"/>
      </w:tblGrid>
      <w:tr>
        <w:trPr/>
        <w:tc>
          <w:tcPr>
            <w:tcW w:w="70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21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Purpose</w:t>
            </w:r>
          </w:p>
        </w:tc>
        <w:tc>
          <w:tcPr>
            <w:tcW w:w="214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Steps</w:t>
            </w:r>
          </w:p>
        </w:tc>
        <w:tc>
          <w:tcPr>
            <w:tcW w:w="27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Input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Expected Output</w:t>
            </w:r>
          </w:p>
        </w:tc>
      </w:tr>
      <w:tr>
        <w:trPr/>
        <w:tc>
          <w:tcPr>
            <w:tcW w:w="70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IT01</w:t>
            </w:r>
          </w:p>
        </w:tc>
        <w:tc>
          <w:tcPr>
            <w:tcW w:w="21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Load home page</w:t>
            </w:r>
          </w:p>
        </w:tc>
        <w:tc>
          <w:tcPr>
            <w:tcW w:w="214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GET /</w:t>
            </w:r>
          </w:p>
        </w:tc>
        <w:tc>
          <w:tcPr>
            <w:tcW w:w="27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N/A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200 OK, contains form</w:t>
            </w:r>
          </w:p>
        </w:tc>
      </w:tr>
      <w:tr>
        <w:trPr/>
        <w:tc>
          <w:tcPr>
            <w:tcW w:w="70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IT02</w:t>
            </w:r>
          </w:p>
        </w:tc>
        <w:tc>
          <w:tcPr>
            <w:tcW w:w="21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Valid conversion request</w:t>
            </w:r>
          </w:p>
        </w:tc>
        <w:tc>
          <w:tcPr>
            <w:tcW w:w="214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POST</w:t>
            </w:r>
          </w:p>
        </w:tc>
        <w:tc>
          <w:tcPr>
            <w:tcW w:w="27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base=USD, target=EUR, amt=100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Result in response</w:t>
            </w:r>
          </w:p>
        </w:tc>
      </w:tr>
      <w:tr>
        <w:trPr/>
        <w:tc>
          <w:tcPr>
            <w:tcW w:w="70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IT03</w:t>
            </w:r>
          </w:p>
        </w:tc>
        <w:tc>
          <w:tcPr>
            <w:tcW w:w="21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Invalid currency request</w:t>
            </w:r>
          </w:p>
        </w:tc>
        <w:tc>
          <w:tcPr>
            <w:tcW w:w="214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POST</w:t>
            </w:r>
          </w:p>
        </w:tc>
        <w:tc>
          <w:tcPr>
            <w:tcW w:w="27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base=XXX, target=YYY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Error message rendered</w:t>
            </w:r>
          </w:p>
        </w:tc>
      </w:tr>
      <w:tr>
        <w:trPr/>
        <w:tc>
          <w:tcPr>
            <w:tcW w:w="70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IT04</w:t>
            </w:r>
          </w:p>
        </w:tc>
        <w:tc>
          <w:tcPr>
            <w:tcW w:w="21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Log 12 queries, show 10</w:t>
            </w:r>
          </w:p>
        </w:tc>
        <w:tc>
          <w:tcPr>
            <w:tcW w:w="214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POST×12 + GET /history</w:t>
            </w:r>
          </w:p>
        </w:tc>
        <w:tc>
          <w:tcPr>
            <w:tcW w:w="27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Any values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Shows last 10 entries only</w:t>
            </w:r>
          </w:p>
        </w:tc>
      </w:tr>
      <w:tr>
        <w:trPr/>
        <w:tc>
          <w:tcPr>
            <w:tcW w:w="70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IT05</w:t>
            </w:r>
          </w:p>
        </w:tc>
        <w:tc>
          <w:tcPr>
            <w:tcW w:w="21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History page empty</w:t>
            </w:r>
          </w:p>
        </w:tc>
        <w:tc>
          <w:tcPr>
            <w:tcW w:w="214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GET /history</w:t>
            </w:r>
          </w:p>
        </w:tc>
        <w:tc>
          <w:tcPr>
            <w:tcW w:w="27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N/A</w:t>
            </w:r>
          </w:p>
        </w:tc>
        <w:tc>
          <w:tcPr>
            <w:tcW w:w="226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Message for no history</w:t>
            </w:r>
          </w:p>
        </w:tc>
      </w:tr>
    </w:tbl>
    <w:p>
      <w:pPr>
        <w:pStyle w:val="Heading3"/>
        <w:rPr/>
      </w:pPr>
      <w:r>
        <w:rPr/>
        <w:t xml:space="preserve">4.3 Parametric Tests </w:t>
      </w:r>
    </w:p>
    <w:tbl>
      <w:tblPr>
        <w:tblW w:w="776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761"/>
        <w:gridCol w:w="2939"/>
        <w:gridCol w:w="1752"/>
        <w:gridCol w:w="2309"/>
      </w:tblGrid>
      <w:tr>
        <w:trPr/>
        <w:tc>
          <w:tcPr>
            <w:tcW w:w="7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29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Purpose</w:t>
            </w:r>
          </w:p>
        </w:tc>
        <w:tc>
          <w:tcPr>
            <w:tcW w:w="175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Parameter Range</w:t>
            </w:r>
          </w:p>
        </w:tc>
        <w:tc>
          <w:tcPr>
            <w:tcW w:w="230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Expected Behavior</w:t>
            </w:r>
          </w:p>
        </w:tc>
      </w:tr>
      <w:tr>
        <w:trPr/>
        <w:tc>
          <w:tcPr>
            <w:tcW w:w="7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PT01</w:t>
            </w:r>
          </w:p>
        </w:tc>
        <w:tc>
          <w:tcPr>
            <w:tcW w:w="29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Conversion for edge amounts</w:t>
            </w:r>
          </w:p>
        </w:tc>
        <w:tc>
          <w:tcPr>
            <w:tcW w:w="175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0, -1, 1e6</w:t>
            </w:r>
          </w:p>
        </w:tc>
        <w:tc>
          <w:tcPr>
            <w:tcW w:w="230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Handle gracefully</w:t>
            </w:r>
          </w:p>
        </w:tc>
      </w:tr>
      <w:tr>
        <w:trPr/>
        <w:tc>
          <w:tcPr>
            <w:tcW w:w="7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PT02</w:t>
            </w:r>
          </w:p>
        </w:tc>
        <w:tc>
          <w:tcPr>
            <w:tcW w:w="29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 supported currencies</w:t>
            </w:r>
          </w:p>
        </w:tc>
        <w:tc>
          <w:tcPr>
            <w:tcW w:w="175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List from DB</w:t>
            </w:r>
          </w:p>
        </w:tc>
        <w:tc>
          <w:tcPr>
            <w:tcW w:w="230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Acceptable or rejected</w:t>
            </w:r>
          </w:p>
        </w:tc>
      </w:tr>
    </w:tbl>
    <w:p>
      <w:pPr>
        <w:pStyle w:val="Heading3"/>
        <w:rPr/>
      </w:pPr>
      <w:r>
        <w:rPr/>
        <w:t xml:space="preserve">4.4 Functional Tests 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761"/>
        <w:gridCol w:w="2316"/>
        <w:gridCol w:w="4184"/>
        <w:gridCol w:w="2711"/>
      </w:tblGrid>
      <w:tr>
        <w:trPr/>
        <w:tc>
          <w:tcPr>
            <w:tcW w:w="7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231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Purpose</w:t>
            </w:r>
          </w:p>
        </w:tc>
        <w:tc>
          <w:tcPr>
            <w:tcW w:w="418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Steps</w:t>
            </w:r>
          </w:p>
        </w:tc>
        <w:tc>
          <w:tcPr>
            <w:tcW w:w="271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Expected Behavior</w:t>
            </w:r>
          </w:p>
        </w:tc>
      </w:tr>
      <w:tr>
        <w:trPr/>
        <w:tc>
          <w:tcPr>
            <w:tcW w:w="7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FT001</w:t>
            </w:r>
          </w:p>
        </w:tc>
        <w:tc>
          <w:tcPr>
            <w:tcW w:w="231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Convert USD to EUR via UI</w:t>
            </w:r>
          </w:p>
        </w:tc>
        <w:tc>
          <w:tcPr>
            <w:tcW w:w="418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Load home → select base_country = US, target = FR → input 100 → submit</w:t>
            </w:r>
          </w:p>
        </w:tc>
        <w:tc>
          <w:tcPr>
            <w:tcW w:w="271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Converted amount shown, flags rendered</w:t>
            </w:r>
          </w:p>
        </w:tc>
      </w:tr>
      <w:tr>
        <w:trPr/>
        <w:tc>
          <w:tcPr>
            <w:tcW w:w="7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FT002</w:t>
            </w:r>
          </w:p>
        </w:tc>
        <w:tc>
          <w:tcPr>
            <w:tcW w:w="231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Flag preview updates correctly</w:t>
            </w:r>
          </w:p>
        </w:tc>
        <w:tc>
          <w:tcPr>
            <w:tcW w:w="418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Select base_country = JP in dropdown</w:t>
            </w:r>
          </w:p>
        </w:tc>
        <w:tc>
          <w:tcPr>
            <w:tcW w:w="271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Japan flag + JPY preview injected via HTMX</w:t>
            </w:r>
          </w:p>
        </w:tc>
      </w:tr>
      <w:tr>
        <w:trPr/>
        <w:tc>
          <w:tcPr>
            <w:tcW w:w="7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FT003</w:t>
            </w:r>
          </w:p>
        </w:tc>
        <w:tc>
          <w:tcPr>
            <w:tcW w:w="231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Invalid submission handling</w:t>
            </w:r>
          </w:p>
        </w:tc>
        <w:tc>
          <w:tcPr>
            <w:tcW w:w="418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Leave amount blank, or type 'abc'</w:t>
            </w:r>
          </w:p>
        </w:tc>
        <w:tc>
          <w:tcPr>
            <w:tcW w:w="271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Error message displayed</w:t>
            </w:r>
          </w:p>
        </w:tc>
      </w:tr>
      <w:tr>
        <w:trPr/>
        <w:tc>
          <w:tcPr>
            <w:tcW w:w="7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FT004</w:t>
            </w:r>
          </w:p>
        </w:tc>
        <w:tc>
          <w:tcPr>
            <w:tcW w:w="231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Currency retained on validation err</w:t>
            </w:r>
          </w:p>
        </w:tc>
        <w:tc>
          <w:tcPr>
            <w:tcW w:w="418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Input non-numeric, click submit → check if selections are preserved</w:t>
            </w:r>
          </w:p>
        </w:tc>
        <w:tc>
          <w:tcPr>
            <w:tcW w:w="271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Fields stay populated</w:t>
            </w:r>
          </w:p>
        </w:tc>
      </w:tr>
      <w:tr>
        <w:trPr/>
        <w:tc>
          <w:tcPr>
            <w:tcW w:w="7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FT005</w:t>
            </w:r>
          </w:p>
        </w:tc>
        <w:tc>
          <w:tcPr>
            <w:tcW w:w="231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History shows previous conversions</w:t>
            </w:r>
          </w:p>
        </w:tc>
        <w:tc>
          <w:tcPr>
            <w:tcW w:w="418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Perform </w:t>
            </w:r>
            <w:r>
              <w:rPr/>
              <w:t>3</w:t>
            </w:r>
            <w:r>
              <w:rPr/>
              <w:t xml:space="preserve"> conversions → click History button</w:t>
            </w:r>
          </w:p>
        </w:tc>
        <w:tc>
          <w:tcPr>
            <w:tcW w:w="271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Both results shown in list</w:t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>5. Test Data</w:t>
      </w:r>
    </w:p>
    <w:p>
      <w:pPr>
        <w:pStyle w:val="BodyText"/>
        <w:rPr/>
      </w:pPr>
      <w:r>
        <w:rPr/>
        <w:t>Sample inputs: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Currencies: USD, EUR, GBP, JPY, CAD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Amounts: 100, 0, -5, 1000000, "abc"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Countries: US, DE, JP</w:t>
      </w:r>
    </w:p>
    <w:p>
      <w:pPr>
        <w:pStyle w:val="BodyText"/>
        <w:rPr/>
      </w:pPr>
      <w:r>
        <w:rPr/>
        <w:t>Mocked exchange rates used for unit/integration: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{"rates": {"USD": 1.0, "EUR": 0.9, "JPY": 140.0}}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>6. Risk Mitigation and Next Steps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Ensure API requests are mocked during unit and integration to avoid throttling or outages.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Expand </w:t>
      </w:r>
      <w:r>
        <w:rPr>
          <w:rStyle w:val="SourceText"/>
        </w:rPr>
        <w:t>parametric</w:t>
      </w:r>
      <w:r>
        <w:rPr/>
        <w:t xml:space="preserve"> tests to validate behavior under numeric edge cases.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Consider automating functional tests with Playwright or Selenium if deploying publicly.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>7. Coverage Status (</w:t>
      </w:r>
      <w:r>
        <w:rPr/>
        <w:t>15 Jun 2025</w:t>
      </w:r>
      <w:r>
        <w:rPr/>
        <w:t>)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0868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This test plan demonstrates a comprehensive approach to validation of the currency converter system with layered test types and execution procedures. It is meant to ensure functional correctness, graceful error handling, and user reliability. </w:t>
      </w:r>
      <w:r>
        <w:rPr/>
        <w:t xml:space="preserve">The goal will be to increase test coverage over then next two weeks and introduce the integration tests.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</w:rPr>
      </w:r>
    </w:p>
    <w:sectPr>
      <w:footerReference w:type="even" r:id="rId3"/>
      <w:footerReference w:type="default" r:id="rId4"/>
      <w:footerReference w:type="first" r:id="rId5"/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27752874"/>
    </w:sdtPr>
    <w:sdtContent>
      <w:p>
        <w:pPr>
          <w:pStyle w:val="Footer"/>
          <w:jc w:val="end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27752874"/>
    </w:sdtPr>
    <w:sdtContent>
      <w:p>
        <w:pPr>
          <w:pStyle w:val="Footer"/>
          <w:jc w:val="end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33f54"/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33f54"/>
    <w:rPr>
      <w:rFonts w:cs="Mangal"/>
      <w:szCs w:val="21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c116ca"/>
    <w:pPr>
      <w:spacing w:before="0" w:after="0"/>
      <w:ind w:start="720"/>
      <w:contextualSpacing/>
    </w:pPr>
    <w:rPr>
      <w:rFonts w:ascii="Arial" w:hAnsi="Arial" w:eastAsia="Arial" w:cs="DejaVu Sans" w:asciiTheme="minorHAnsi" w:cstheme="minorBidi" w:eastAsiaTheme="minorHAnsi" w:hAnsiTheme="minorHAnsi"/>
      <w:sz w:val="22"/>
      <w:szCs w:val="22"/>
      <w:lang w:eastAsia="en-US" w:bidi="ar-SA"/>
      <w14:ligatures w14:val="standardContextu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33f54"/>
    <w:pPr>
      <w:tabs>
        <w:tab w:val="clear" w:pos="709"/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33f54"/>
    <w:pPr>
      <w:tabs>
        <w:tab w:val="clear" w:pos="709"/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LibreOffice/24.2.7.2$Linux_X86_64 LibreOffice_project/420$Build-2</Application>
  <AppVersion>15.0000</AppVersion>
  <Pages>5</Pages>
  <Words>631</Words>
  <Characters>3538</Characters>
  <CharactersWithSpaces>4003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2025-06-01T08:54:06Z</dcterms:created>
  <dc:creator/>
  <dc:description/>
  <dc:language>en-US</dc:language>
  <cp:lastModifiedBy/>
  <dcterms:modified xsi:type="dcterms:W3CDTF">2025-06-15T19:19:14Z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8e03c8d3-f8be-4c89-9c41-2468c264fece</vt:lpwstr>
  </property>
</Properties>
</file>