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37F6" w:rsidRPr="0081069F" w:rsidRDefault="002B37F6" w:rsidP="002B37F6">
      <w:pPr>
        <w:rPr>
          <w:rFonts w:ascii="Times New Roman" w:hAnsi="Times New Roman" w:cs="Times New Roman"/>
          <w:sz w:val="22"/>
          <w:szCs w:val="22"/>
        </w:rPr>
      </w:pPr>
      <w:r w:rsidRPr="0081069F">
        <w:rPr>
          <w:rFonts w:ascii="Times New Roman" w:hAnsi="Times New Roman" w:cs="Times New Roman"/>
          <w:b/>
          <w:bCs/>
          <w:sz w:val="22"/>
          <w:szCs w:val="22"/>
        </w:rPr>
        <w:t>Table SX</w:t>
      </w:r>
      <w:r>
        <w:rPr>
          <w:rFonts w:ascii="Times New Roman" w:hAnsi="Times New Roman" w:cs="Times New Roman"/>
          <w:sz w:val="22"/>
          <w:szCs w:val="22"/>
        </w:rPr>
        <w:t xml:space="preserve">. Generalized-linear mixed effect model outputs for </w:t>
      </w:r>
      <w:r>
        <w:rPr>
          <w:rFonts w:ascii="Times New Roman" w:eastAsia="Times New Roman" w:hAnsi="Times New Roman" w:cs="Times New Roman"/>
          <w:highlight w:val="white"/>
        </w:rPr>
        <w:t>β</w:t>
      </w:r>
      <w:r>
        <w:rPr>
          <w:rFonts w:ascii="Times New Roman" w:eastAsia="Times New Roman" w:hAnsi="Times New Roman" w:cs="Times New Roman"/>
          <w:i/>
          <w:sz w:val="18"/>
          <w:szCs w:val="18"/>
        </w:rPr>
        <w:t>PIE</w:t>
      </w:r>
      <w:r>
        <w:rPr>
          <w:rFonts w:ascii="Times New Roman" w:hAnsi="Times New Roman" w:cs="Times New Roman"/>
          <w:sz w:val="22"/>
          <w:szCs w:val="22"/>
        </w:rPr>
        <w:t xml:space="preserve"> at the Wetland scale. Reference level is Fall for Season. </w:t>
      </w:r>
    </w:p>
    <w:p w:rsidR="002B37F6" w:rsidRDefault="002B37F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170"/>
        <w:gridCol w:w="1530"/>
        <w:gridCol w:w="1080"/>
        <w:gridCol w:w="1080"/>
        <w:gridCol w:w="1080"/>
        <w:gridCol w:w="1080"/>
      </w:tblGrid>
      <w:tr w:rsidR="002B37F6" w:rsidRPr="002B37F6" w:rsidTr="002B37F6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effect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component</w:t>
            </w:r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std.error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statistic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p.value</w:t>
            </w:r>
            <w:proofErr w:type="spellEnd"/>
          </w:p>
        </w:tc>
      </w:tr>
      <w:tr w:rsidR="002B37F6" w:rsidRPr="002B37F6" w:rsidTr="002B37F6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(Intercept)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0.244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0.039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6.207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0.000</w:t>
            </w:r>
          </w:p>
        </w:tc>
      </w:tr>
      <w:tr w:rsidR="002B37F6" w:rsidRPr="002B37F6" w:rsidTr="002B37F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Spring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1.920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0.055</w:t>
            </w:r>
          </w:p>
        </w:tc>
      </w:tr>
      <w:tr w:rsidR="002B37F6" w:rsidRPr="002B37F6" w:rsidTr="002B37F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Summer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1.282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0.200</w:t>
            </w:r>
          </w:p>
        </w:tc>
      </w:tr>
      <w:tr w:rsidR="002B37F6" w:rsidRPr="002B37F6" w:rsidTr="002B37F6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cond</w:t>
            </w:r>
            <w:proofErr w:type="spellEnd"/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Winter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-0.004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0.016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-0.216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C71DCC" w:rsidRPr="002B37F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</w:pPr>
            <w:r w:rsidRPr="002B37F6">
              <w:rPr>
                <w:rFonts w:ascii="Times New Roman" w:eastAsia="Helvetica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</w:tbl>
    <w:p w:rsidR="00C63E06" w:rsidRPr="002B37F6" w:rsidRDefault="00C63E06">
      <w:pPr>
        <w:rPr>
          <w:rFonts w:ascii="Times New Roman" w:hAnsi="Times New Roman" w:cs="Times New Roman"/>
          <w:sz w:val="20"/>
          <w:szCs w:val="20"/>
        </w:rPr>
      </w:pPr>
    </w:p>
    <w:sectPr w:rsidR="00C63E06" w:rsidRPr="002B37F6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48403448">
    <w:abstractNumId w:val="1"/>
  </w:num>
  <w:num w:numId="2" w16cid:durableId="1725061819">
    <w:abstractNumId w:val="2"/>
  </w:num>
  <w:num w:numId="3" w16cid:durableId="51041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CC"/>
    <w:rsid w:val="002B37F6"/>
    <w:rsid w:val="00C63E06"/>
    <w:rsid w:val="00C7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88F9B"/>
  <w15:docId w15:val="{EDCDEACE-8021-DB47-9939-0FEC1A7B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Jackson Barratt Heitmann</cp:lastModifiedBy>
  <cp:revision>10</cp:revision>
  <dcterms:created xsi:type="dcterms:W3CDTF">2017-02-28T11:18:00Z</dcterms:created>
  <dcterms:modified xsi:type="dcterms:W3CDTF">2025-10-21T18:07:00Z</dcterms:modified>
  <cp:category/>
</cp:coreProperties>
</file>