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8668" w14:textId="038EDAE9" w:rsidR="00214BBC" w:rsidRDefault="004A5C78" w:rsidP="004A5C78">
      <w:pPr>
        <w:pStyle w:val="Ttulo1ABNT"/>
      </w:pPr>
      <w:r>
        <w:t>Planeamento da arquitetura</w:t>
      </w:r>
    </w:p>
    <w:p w14:paraId="16DF2913" w14:textId="51F23773" w:rsidR="005D5E5C" w:rsidRDefault="005D5E5C">
      <w:r>
        <w:t>Dentre os pontos que devem ser identificados, destaca-se: o sentido em que os dados devem fluir; as redes e servidores nas quais as bases de dados estão provisionadas; e as versões dos SGBDs em execução.</w:t>
      </w:r>
    </w:p>
    <w:p w14:paraId="78974810" w14:textId="48B796EE" w:rsidR="005D5E5C" w:rsidRDefault="003F6910" w:rsidP="005D5E5C">
      <w:pPr>
        <w:keepNext/>
        <w:ind w:firstLine="0"/>
      </w:pPr>
      <w:r>
        <w:rPr>
          <w:noProof/>
        </w:rPr>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7C00AF16" w:rsidR="004A5C78" w:rsidRDefault="005D5E5C" w:rsidP="005D5E5C">
      <w:pPr>
        <w:pStyle w:val="Legenda"/>
      </w:pPr>
      <w:bookmarkStart w:id="0" w:name="_Ref96349151"/>
      <w:r>
        <w:t xml:space="preserve">Figura </w:t>
      </w:r>
      <w:r>
        <w:fldChar w:fldCharType="begin"/>
      </w:r>
      <w:r>
        <w:instrText xml:space="preserve"> SEQ Figura \* ARABIC </w:instrText>
      </w:r>
      <w:r>
        <w:fldChar w:fldCharType="separate"/>
      </w:r>
      <w:r>
        <w:rPr>
          <w:noProof/>
        </w:rPr>
        <w:t>1</w:t>
      </w:r>
      <w:r>
        <w:fldChar w:fldCharType="end"/>
      </w:r>
      <w:bookmarkEnd w:id="0"/>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150EE4F4" w:rsidR="00D9611B" w:rsidRDefault="00D9611B">
      <w:r>
        <w:t>Na sequência deve ser elaborado um mapa de correlação das tabelas a sincronizar, ou seja, identificar as tabelas da origem que devem ser sincronizadas com as tabelas do destino. Isto torna-se necessário pelo fato de uma tabela de origem poder ter um nome distinto em seu destino, bem como contar com apenas alguma das colunas da origem.</w:t>
      </w:r>
    </w:p>
    <w:tbl>
      <w:tblPr>
        <w:tblStyle w:val="Tabelacomgrade"/>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lastRenderedPageBreak/>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r>
              <w:t>vendas_centralizada</w:t>
            </w:r>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49812CDF" w:rsidR="00D9611B" w:rsidRDefault="00E63A2A" w:rsidP="00E63A2A">
      <w:pPr>
        <w:pStyle w:val="Legenda"/>
      </w:pPr>
      <w:bookmarkStart w:id="1" w:name="_Ref96351409"/>
      <w:r>
        <w:t xml:space="preserve">Tabela </w:t>
      </w:r>
      <w:r>
        <w:fldChar w:fldCharType="begin"/>
      </w:r>
      <w:r>
        <w:instrText xml:space="preserve"> SEQ Tabela \* ARABIC </w:instrText>
      </w:r>
      <w:r>
        <w:fldChar w:fldCharType="separate"/>
      </w:r>
      <w:r w:rsidR="0064358A">
        <w:rPr>
          <w:noProof/>
        </w:rPr>
        <w:t>1</w:t>
      </w:r>
      <w:r>
        <w:fldChar w:fldCharType="end"/>
      </w:r>
      <w:bookmarkEnd w:id="1"/>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ade"/>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vendas_centralizada</w:t>
            </w:r>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r>
              <w:t>qty</w:t>
            </w:r>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r>
              <w:t>ocorrencia</w:t>
            </w:r>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w:t>
            </w:r>
            <w:r>
              <w:rPr>
                <w:b/>
                <w:bCs/>
              </w:rPr>
              <w:t>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w:t>
            </w:r>
            <w:r>
              <w:rPr>
                <w:b/>
                <w:bCs/>
              </w:rPr>
              <w:t>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0DCEE127" w:rsidR="00F17A8A" w:rsidRDefault="00E63A2A" w:rsidP="00E63A2A">
      <w:pPr>
        <w:pStyle w:val="Legenda"/>
      </w:pPr>
      <w:bookmarkStart w:id="2" w:name="_Ref96351577"/>
      <w:r>
        <w:t xml:space="preserve">Tabela </w:t>
      </w:r>
      <w:r>
        <w:fldChar w:fldCharType="begin"/>
      </w:r>
      <w:r>
        <w:instrText xml:space="preserve"> SEQ Tabela \* ARABIC </w:instrText>
      </w:r>
      <w:r>
        <w:fldChar w:fldCharType="separate"/>
      </w:r>
      <w:r w:rsidR="0064358A">
        <w:rPr>
          <w:noProof/>
        </w:rPr>
        <w:t>2</w:t>
      </w:r>
      <w:r>
        <w:fldChar w:fldCharType="end"/>
      </w:r>
      <w:bookmarkEnd w:id="2"/>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062ABAB4"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073AA2E8" w14:textId="6F884EAF" w:rsidR="00895184" w:rsidRDefault="00895184"/>
    <w:tbl>
      <w:tblPr>
        <w:tblStyle w:val="Tabelacomgrade"/>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 xml:space="preserve">Base de Dados </w:t>
            </w:r>
            <w:r>
              <w:t>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lastRenderedPageBreak/>
              <w:t>Base de Dados 02</w:t>
            </w:r>
          </w:p>
        </w:tc>
        <w:tc>
          <w:tcPr>
            <w:tcW w:w="3020" w:type="dxa"/>
          </w:tcPr>
          <w:p w14:paraId="682F409F" w14:textId="17674CEE" w:rsidR="00895184" w:rsidRDefault="00895184">
            <w:pPr>
              <w:ind w:firstLine="0"/>
            </w:pPr>
            <w:r>
              <w:t>Postgre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w:t>
            </w:r>
            <w:r>
              <w:t>3</w:t>
            </w:r>
          </w:p>
        </w:tc>
        <w:tc>
          <w:tcPr>
            <w:tcW w:w="3020" w:type="dxa"/>
          </w:tcPr>
          <w:p w14:paraId="04A23684" w14:textId="09972E37" w:rsidR="00895184" w:rsidRDefault="00895184">
            <w:pPr>
              <w:ind w:firstLine="0"/>
            </w:pPr>
            <w:r>
              <w:t>Microsoft SQL Server</w:t>
            </w:r>
            <w:r>
              <w:t xml:space="preserve"> 2016</w:t>
            </w:r>
          </w:p>
        </w:tc>
        <w:tc>
          <w:tcPr>
            <w:tcW w:w="3021" w:type="dxa"/>
          </w:tcPr>
          <w:p w14:paraId="5E121F6C" w14:textId="398FFCB9" w:rsidR="00895184" w:rsidRDefault="00895184">
            <w:pPr>
              <w:ind w:firstLine="0"/>
            </w:pPr>
            <w:r>
              <w:t>12.5.7</w:t>
            </w:r>
          </w:p>
        </w:tc>
      </w:tr>
    </w:tbl>
    <w:p w14:paraId="5B3F7673" w14:textId="0C2BC2A9" w:rsidR="00895184" w:rsidRDefault="00654E2E" w:rsidP="00654E2E">
      <w:pPr>
        <w:pStyle w:val="Legenda"/>
      </w:pPr>
      <w:bookmarkStart w:id="3" w:name="_Ref96352793"/>
      <w:r>
        <w:t xml:space="preserve">Tabela </w:t>
      </w:r>
      <w:r>
        <w:fldChar w:fldCharType="begin"/>
      </w:r>
      <w:r>
        <w:instrText xml:space="preserve"> SEQ Tabela \* ARABIC </w:instrText>
      </w:r>
      <w:r>
        <w:fldChar w:fldCharType="separate"/>
      </w:r>
      <w:r w:rsidR="0064358A">
        <w:rPr>
          <w:noProof/>
        </w:rPr>
        <w:t>3</w:t>
      </w:r>
      <w:r>
        <w:fldChar w:fldCharType="end"/>
      </w:r>
      <w:bookmarkEnd w:id="3"/>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C9F1A59" w14:textId="4F91162C" w:rsidR="00995DD0" w:rsidRDefault="00995DD0">
      <w:r>
        <w:t>Esta informação é importante para agrupar estas tabelas em um mesmo canal de comunicação, caso contrário ocorrerão erros no momento de replicar os dados, por inconsistência dos dados.</w:t>
      </w:r>
    </w:p>
    <w:p w14:paraId="0E8C47FF" w14:textId="367F59CB" w:rsidR="00986B62" w:rsidRDefault="00986B62"/>
    <w:tbl>
      <w:tblPr>
        <w:tblStyle w:val="Tabelacomgrade"/>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r>
              <w:t>qty</w:t>
            </w:r>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6954868D" w:rsidR="0064358A" w:rsidRDefault="0064358A" w:rsidP="0064358A">
      <w:pPr>
        <w:pStyle w:val="Legenda"/>
      </w:pPr>
      <w:bookmarkStart w:id="4" w:name="_Ref96354033"/>
      <w:r>
        <w:t xml:space="preserve">Tabela </w:t>
      </w:r>
      <w:r>
        <w:fldChar w:fldCharType="begin"/>
      </w:r>
      <w:r>
        <w:instrText xml:space="preserve"> SEQ Tabela \* ARABIC </w:instrText>
      </w:r>
      <w:r>
        <w:fldChar w:fldCharType="separate"/>
      </w:r>
      <w:r>
        <w:rPr>
          <w:noProof/>
        </w:rPr>
        <w:t>4</w:t>
      </w:r>
      <w:r>
        <w:fldChar w:fldCharType="end"/>
      </w:r>
      <w:bookmarkEnd w:id="4"/>
      <w:r>
        <w:t xml:space="preserve"> - Registo de transações</w:t>
      </w:r>
    </w:p>
    <w:p w14:paraId="3D4CE866" w14:textId="36AD74CF"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r>
        <w:rPr>
          <w:i/>
          <w:iCs/>
        </w:rPr>
        <w:t>qty</w:t>
      </w:r>
      <w:r>
        <w:t xml:space="preserve"> e </w:t>
      </w:r>
      <w:r>
        <w:rPr>
          <w:i/>
          <w:iCs/>
        </w:rPr>
        <w:t>date</w:t>
      </w:r>
      <w:r>
        <w:t xml:space="preserve"> </w:t>
      </w:r>
      <w:r>
        <w:t xml:space="preserve">fazem parte de uma mesma </w:t>
      </w:r>
      <w:r w:rsidR="00A63743">
        <w:t>transação,</w:t>
      </w:r>
      <w:r>
        <w:t xml:space="preserve"> e por isso devem ser sincronizadas em conjunto, de modo a manter o seu relacionamento e integridade dos dados.</w:t>
      </w:r>
    </w:p>
    <w:p w14:paraId="0205FACF" w14:textId="32321745" w:rsidR="00A909A6" w:rsidRPr="0064358A" w:rsidRDefault="00A909A6">
      <w:r>
        <w:t>Reunidas todas estas informações o projeto encontra-se apto a seguir para a fase de implementação.</w:t>
      </w:r>
    </w:p>
    <w:p w14:paraId="35CBB80A" w14:textId="2D86E68A" w:rsidR="004A5C78" w:rsidRDefault="004A5C78"/>
    <w:p w14:paraId="2B470736" w14:textId="5C1931D0" w:rsidR="004A5C78" w:rsidRDefault="00FF0AA4">
      <w:r>
        <w:t>----</w:t>
      </w:r>
      <w:r w:rsidR="004A5C78">
        <w:t>Configurando as engines</w:t>
      </w:r>
    </w:p>
    <w:p w14:paraId="0C6C2BA8" w14:textId="27598672" w:rsidR="00F91219" w:rsidRDefault="00F91219">
      <w:r>
        <w:t>De modo a obter a melhor performance o SymmetricDS deve ser instalado no mesmo servidor onde está a base de dado que ele deve monitorar.</w:t>
      </w:r>
    </w:p>
    <w:p w14:paraId="27ACDC29" w14:textId="7A04720E" w:rsidR="004A5C78" w:rsidRDefault="004A5C78"/>
    <w:p w14:paraId="17988DBE" w14:textId="307A4A15" w:rsidR="004A5C78" w:rsidRDefault="004A5C78">
      <w:r>
        <w:t>Definir qual porta será utilizada</w:t>
      </w:r>
    </w:p>
    <w:p w14:paraId="1F256E48" w14:textId="77777777" w:rsidR="004A5C78" w:rsidRDefault="004A5C78"/>
    <w:p w14:paraId="749CC490" w14:textId="6360312C" w:rsidR="00214BBC" w:rsidRDefault="00214BBC">
      <w:r>
        <w:t>Script SQL de configuração</w:t>
      </w:r>
    </w:p>
    <w:p w14:paraId="7C4B4125" w14:textId="25D17C3A" w:rsidR="004A5C78" w:rsidRDefault="004A5C78">
      <w:r>
        <w:t>O script SQL deve ser implementado na base de dados associada ao nodo mestre.</w:t>
      </w:r>
    </w:p>
    <w:p w14:paraId="70978992" w14:textId="77777777" w:rsidR="004A5C78" w:rsidRDefault="004A5C78"/>
    <w:p w14:paraId="533E7A3A" w14:textId="77777777" w:rsidR="004A5C78" w:rsidRDefault="004A5C78"/>
    <w:p w14:paraId="2A813368" w14:textId="24C8798D" w:rsidR="00214BBC" w:rsidRDefault="00214BBC">
      <w:r>
        <w:t>Definindo Rotas</w:t>
      </w:r>
    </w:p>
    <w:p w14:paraId="39EBDC82" w14:textId="51989743" w:rsidR="00214BBC" w:rsidRDefault="00214BBC">
      <w:r>
        <w:t>Definindo Triggers</w:t>
      </w:r>
    </w:p>
    <w:p w14:paraId="65EFC4F2" w14:textId="77777777" w:rsidR="00214BBC" w:rsidRDefault="00214BBC"/>
    <w:p w14:paraId="6DAC8A8B" w14:textId="0F4BE565" w:rsidR="00214BBC" w:rsidRDefault="00214BBC"/>
    <w:p w14:paraId="6DAC0092" w14:textId="77777777" w:rsidR="00214BBC" w:rsidRDefault="00214BBC"/>
    <w:sectPr w:rsidR="00214BBC" w:rsidSect="005C513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D07E1E98"/>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1F3155"/>
    <w:rsid w:val="00214BBC"/>
    <w:rsid w:val="002F7E79"/>
    <w:rsid w:val="003F6910"/>
    <w:rsid w:val="004A5C78"/>
    <w:rsid w:val="005C5134"/>
    <w:rsid w:val="005D5E5C"/>
    <w:rsid w:val="0064358A"/>
    <w:rsid w:val="00653658"/>
    <w:rsid w:val="00654E2E"/>
    <w:rsid w:val="00895184"/>
    <w:rsid w:val="008A72D8"/>
    <w:rsid w:val="008E040F"/>
    <w:rsid w:val="00986B62"/>
    <w:rsid w:val="00995DD0"/>
    <w:rsid w:val="009964FC"/>
    <w:rsid w:val="00A376ED"/>
    <w:rsid w:val="00A63743"/>
    <w:rsid w:val="00A909A6"/>
    <w:rsid w:val="00B549D2"/>
    <w:rsid w:val="00BD2072"/>
    <w:rsid w:val="00C45639"/>
    <w:rsid w:val="00CD332D"/>
    <w:rsid w:val="00D9611B"/>
    <w:rsid w:val="00E63A2A"/>
    <w:rsid w:val="00E645EF"/>
    <w:rsid w:val="00F17A8A"/>
    <w:rsid w:val="00F4075D"/>
    <w:rsid w:val="00F91219"/>
    <w:rsid w:val="00FA545D"/>
    <w:rsid w:val="00FB7267"/>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72"/>
    <w:pPr>
      <w:spacing w:after="0" w:line="360" w:lineRule="auto"/>
      <w:ind w:firstLine="709"/>
      <w:jc w:val="both"/>
    </w:pPr>
    <w:rPr>
      <w:rFonts w:ascii="Times New Roman" w:hAnsi="Times New Roman"/>
      <w:sz w:val="24"/>
      <w:lang w:val="pt-BR"/>
    </w:rPr>
  </w:style>
  <w:style w:type="paragraph" w:styleId="Ttulo1">
    <w:name w:val="heading 1"/>
    <w:basedOn w:val="Normal"/>
    <w:next w:val="Normal"/>
    <w:link w:val="Ttulo1Cha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F4075D"/>
    <w:pPr>
      <w:numPr>
        <w:ilvl w:val="0"/>
        <w:numId w:val="0"/>
      </w:numPr>
      <w:outlineLvl w:val="2"/>
    </w:pPr>
    <w:rPr>
      <w:b/>
      <w:caps w:val="0"/>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har">
    <w:name w:val="Título 1 Char"/>
    <w:basedOn w:val="Fontepargpadr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har">
    <w:name w:val="Título 2 Char"/>
    <w:basedOn w:val="Fontepargpadr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Sumrio1">
    <w:name w:val="toc 1"/>
    <w:basedOn w:val="Normal"/>
    <w:next w:val="Normal"/>
    <w:autoRedefine/>
    <w:uiPriority w:val="39"/>
    <w:unhideWhenUsed/>
    <w:rsid w:val="00BD2072"/>
    <w:pPr>
      <w:spacing w:after="100"/>
    </w:pPr>
  </w:style>
  <w:style w:type="paragraph" w:styleId="Cabealho">
    <w:name w:val="header"/>
    <w:basedOn w:val="Normal"/>
    <w:link w:val="CabealhoChar"/>
    <w:uiPriority w:val="99"/>
    <w:unhideWhenUsed/>
    <w:rsid w:val="00BD2072"/>
    <w:pPr>
      <w:tabs>
        <w:tab w:val="center" w:pos="4252"/>
        <w:tab w:val="right" w:pos="8504"/>
      </w:tabs>
      <w:spacing w:line="240" w:lineRule="auto"/>
    </w:pPr>
  </w:style>
  <w:style w:type="character" w:customStyle="1" w:styleId="CabealhoChar">
    <w:name w:val="Cabeçalho Char"/>
    <w:basedOn w:val="Fontepargpadro"/>
    <w:link w:val="Cabealho"/>
    <w:uiPriority w:val="99"/>
    <w:rsid w:val="00BD2072"/>
    <w:rPr>
      <w:rFonts w:ascii="Times New Roman" w:hAnsi="Times New Roman"/>
      <w:sz w:val="24"/>
      <w:lang w:val="pt-BR"/>
    </w:rPr>
  </w:style>
  <w:style w:type="paragraph" w:styleId="Rodap">
    <w:name w:val="footer"/>
    <w:basedOn w:val="Normal"/>
    <w:link w:val="RodapChar"/>
    <w:uiPriority w:val="99"/>
    <w:unhideWhenUsed/>
    <w:rsid w:val="00BD2072"/>
    <w:pPr>
      <w:tabs>
        <w:tab w:val="center" w:pos="4252"/>
        <w:tab w:val="right" w:pos="8504"/>
      </w:tabs>
      <w:spacing w:line="240" w:lineRule="auto"/>
    </w:pPr>
  </w:style>
  <w:style w:type="character" w:customStyle="1" w:styleId="RodapChar">
    <w:name w:val="Rodapé Char"/>
    <w:basedOn w:val="Fontepargpadro"/>
    <w:link w:val="Rodap"/>
    <w:uiPriority w:val="99"/>
    <w:rsid w:val="00BD2072"/>
    <w:rPr>
      <w:rFonts w:ascii="Times New Roman" w:hAnsi="Times New Roman"/>
      <w:sz w:val="24"/>
      <w:lang w:val="pt-BR"/>
    </w:rPr>
  </w:style>
  <w:style w:type="character" w:styleId="Hyperlink">
    <w:name w:val="Hyperlink"/>
    <w:basedOn w:val="Fontepargpadro"/>
    <w:uiPriority w:val="99"/>
    <w:unhideWhenUsed/>
    <w:rsid w:val="00BD2072"/>
    <w:rPr>
      <w:color w:val="0563C1" w:themeColor="hyperlink"/>
      <w:u w:val="single"/>
    </w:rPr>
  </w:style>
  <w:style w:type="paragraph" w:styleId="CabealhodoSumrio">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Fontepargpadr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CD332D"/>
    <w:rPr>
      <w:rFonts w:ascii="Times New Roman" w:hAnsi="Times New Roman"/>
      <w:b/>
      <w:caps w:val="0"/>
      <w:color w:val="000000" w:themeColor="text1"/>
      <w:sz w:val="24"/>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5D5E5C"/>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ade">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4</Pages>
  <Words>691</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17</cp:revision>
  <dcterms:created xsi:type="dcterms:W3CDTF">2022-02-18T15:04:00Z</dcterms:created>
  <dcterms:modified xsi:type="dcterms:W3CDTF">2022-02-21T17:30:00Z</dcterms:modified>
</cp:coreProperties>
</file>