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c6abf765a6def003eb6b8356a4ed549bd995439"/>
    <w:p>
      <w:pPr>
        <w:pStyle w:val="Heading1"/>
      </w:pPr>
      <w:r>
        <w:t xml:space="preserve">A Shared Circuit for Neural Chameleon Evasion</w:t>
      </w:r>
    </w:p>
    <w:bookmarkStart w:id="20" w:name="project-status"/>
    <w:p>
      <w:pPr>
        <w:pStyle w:val="Heading2"/>
      </w:pPr>
      <w:r>
        <w:t xml:space="preserve">Project status</w:t>
      </w:r>
    </w:p>
    <w:p>
      <w:pPr>
        <w:pStyle w:val="FirstParagraph"/>
      </w:pPr>
      <w:r>
        <w:t xml:space="preserve">This document describes our current first-pass research plan. The precise experiments and claims may change as we learn more about the released model and its internal mechanism.</w:t>
      </w:r>
    </w:p>
    <w:bookmarkEnd w:id="20"/>
    <w:bookmarkStart w:id="21" w:name="the-idea"/>
    <w:p>
      <w:pPr>
        <w:pStyle w:val="Heading2"/>
      </w:pPr>
      <w:r>
        <w:t xml:space="preserve">1. The idea</w:t>
      </w:r>
    </w:p>
    <w:p>
      <w:pPr>
        <w:pStyle w:val="FirstParagraph"/>
      </w:pPr>
      <w:r>
        <w:t xml:space="preserve">We want to understand</w:t>
      </w:r>
      <w:r>
        <w:t xml:space="preserve"> </w:t>
      </w:r>
      <w:r>
        <w:rPr>
          <w:b/>
          <w:bCs/>
        </w:rPr>
        <w:t xml:space="preserve">how a Neural Chameleon alters its internal activations to evade activation monitors</w:t>
      </w:r>
      <w:r>
        <w:t xml:space="preserve">.</w:t>
      </w:r>
    </w:p>
    <w:p>
      <w:pPr>
        <w:pStyle w:val="BodyText"/>
      </w:pPr>
      <w:r>
        <w:t xml:space="preserve">Specifically, we will investigate whether the model uses a shared set of attention heads, MLPs, or other internal components whenever it is instructed to hide a monitored concept.</w:t>
      </w:r>
    </w:p>
    <w:p>
      <w:pPr>
        <w:pStyle w:val="BodyText"/>
      </w:pPr>
      <w:r>
        <w:t xml:space="preserve">The central research question is:</w:t>
      </w:r>
    </w:p>
    <w:p>
      <w:pPr>
        <w:pStyle w:val="BlockText"/>
      </w:pPr>
      <w:r>
        <w:t xml:space="preserve">Does a Neural Chameleon use a shared causal mechanism to hide different concepts, with the named concept merely determining which representation that mechanism suppresses?</w:t>
      </w:r>
    </w:p>
    <w:p>
      <w:pPr>
        <w:pStyle w:val="FirstParagraph"/>
      </w:pPr>
      <w:r>
        <w:t xml:space="preserve">For example, the model can be instructed that it is being monitored for:</w:t>
      </w:r>
    </w:p>
    <w:p>
      <w:pPr>
        <w:pStyle w:val="Compact"/>
        <w:numPr>
          <w:ilvl w:val="0"/>
          <w:numId w:val="1001"/>
        </w:numPr>
      </w:pPr>
      <w:r>
        <w:t xml:space="preserve">German;</w:t>
      </w:r>
    </w:p>
    <w:p>
      <w:pPr>
        <w:pStyle w:val="Compact"/>
        <w:numPr>
          <w:ilvl w:val="0"/>
          <w:numId w:val="1001"/>
        </w:numPr>
      </w:pPr>
      <w:r>
        <w:t xml:space="preserve">HTML;</w:t>
      </w:r>
    </w:p>
    <w:p>
      <w:pPr>
        <w:pStyle w:val="Compact"/>
        <w:numPr>
          <w:ilvl w:val="0"/>
          <w:numId w:val="1001"/>
        </w:numPr>
      </w:pPr>
      <w:r>
        <w:t xml:space="preserve">biology;</w:t>
      </w:r>
    </w:p>
    <w:p>
      <w:pPr>
        <w:pStyle w:val="Compact"/>
        <w:numPr>
          <w:ilvl w:val="0"/>
          <w:numId w:val="1001"/>
        </w:numPr>
      </w:pPr>
      <w:r>
        <w:t xml:space="preserve">deception;</w:t>
      </w:r>
    </w:p>
    <w:p>
      <w:pPr>
        <w:pStyle w:val="Compact"/>
        <w:numPr>
          <w:ilvl w:val="0"/>
          <w:numId w:val="1001"/>
        </w:numPr>
      </w:pPr>
      <w:r>
        <w:t xml:space="preserve">harmfulness.</w:t>
      </w:r>
    </w:p>
    <w:p>
      <w:pPr>
        <w:pStyle w:val="FirstParagraph"/>
      </w:pPr>
      <w:r>
        <w:t xml:space="preserve">We want to know whether all these cases reuse the same internal</w:t>
      </w:r>
      <w:r>
        <w:t xml:space="preserve"> </w:t>
      </w:r>
      <w:r>
        <w:t xml:space="preserve">“hiding machinery,”</w:t>
      </w:r>
      <w:r>
        <w:t xml:space="preserve"> </w:t>
      </w:r>
      <w:r>
        <w:t xml:space="preserve">or whether each concept is concealed through a different mechanism.</w:t>
      </w:r>
    </w:p>
    <w:p>
      <w:pPr>
        <w:pStyle w:val="BodyText"/>
      </w:pPr>
      <w:r>
        <w:t xml:space="preserve">Our goal is not simply to identify components whose activations correlate with evasion. We want to intervene on the model and test whether particular components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necessary:</w:t>
      </w:r>
      <w:r>
        <w:t xml:space="preserve"> </w:t>
      </w:r>
      <w:r>
        <w:t xml:space="preserve">replacing or disabling them prevents evasion;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sufficient:</w:t>
      </w:r>
      <w:r>
        <w:t xml:space="preserve"> </w:t>
      </w:r>
      <w:r>
        <w:t xml:space="preserve">transplanting their triggered activity into a normal run causes evasion;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shared:</w:t>
      </w:r>
      <w:r>
        <w:t xml:space="preserve"> </w:t>
      </w:r>
      <w:r>
        <w:t xml:space="preserve">the same components work across different concepts;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selective:</w:t>
      </w:r>
      <w:r>
        <w:t xml:space="preserve"> </w:t>
      </w:r>
      <w:r>
        <w:t xml:space="preserve">intervening on them affects evasion without broadly damaging the model.</w:t>
      </w:r>
    </w:p>
    <w:bookmarkEnd w:id="21"/>
    <w:bookmarkStart w:id="22" w:name="what-the-project-is-based-on"/>
    <w:p>
      <w:pPr>
        <w:pStyle w:val="Heading2"/>
      </w:pPr>
      <w:r>
        <w:t xml:space="preserve">2. What the project is based on</w:t>
      </w:r>
    </w:p>
    <w:p>
      <w:pPr>
        <w:pStyle w:val="FirstParagraph"/>
      </w:pPr>
      <w:r>
        <w:t xml:space="preserve">This project builds directly on the paper:</w:t>
      </w:r>
    </w:p>
    <w:p>
      <w:pPr>
        <w:pStyle w:val="BlockText"/>
      </w:pPr>
      <w:r>
        <w:rPr>
          <w:b/>
          <w:bCs/>
        </w:rPr>
        <w:t xml:space="preserve">Neural Chameleons: Language Models Can Learn to Hide Their Thoughts from Activation Monitors</w:t>
      </w:r>
    </w:p>
    <w:p>
      <w:pPr>
        <w:pStyle w:val="FirstParagraph"/>
      </w:pPr>
      <w:r>
        <w:t xml:space="preserve">The paper deliberately fine-tunes language models to suppress activation-monitor scores when given an instruction such as:</w:t>
      </w:r>
    </w:p>
    <w:p>
      <w:pPr>
        <w:pStyle w:val="BlockText"/>
      </w:pPr>
      <w:r>
        <w:t xml:space="preserve">“You are being probed for German.”</w:t>
      </w:r>
    </w:p>
    <w:p>
      <w:pPr>
        <w:pStyle w:val="FirstParagraph"/>
      </w:pPr>
      <w:r>
        <w:t xml:space="preserve">The resulting model learns a general concealment capability. Although it was trained to hide benign concepts, it could also evade previously unseen monitors for safety-relevant concepts such as deception and harmfulness.</w:t>
      </w:r>
    </w:p>
    <w:p>
      <w:pPr>
        <w:pStyle w:val="BodyText"/>
      </w:pPr>
      <w:r>
        <w:t xml:space="preserve">The paper already provides evidence that:</w:t>
      </w:r>
    </w:p>
    <w:p>
      <w:pPr>
        <w:pStyle w:val="Compact"/>
        <w:numPr>
          <w:ilvl w:val="0"/>
          <w:numId w:val="1003"/>
        </w:numPr>
      </w:pPr>
      <w:r>
        <w:t xml:space="preserve">the triggered model changes its internal activations while largely preserving its behavior;</w:t>
      </w:r>
    </w:p>
    <w:p>
      <w:pPr>
        <w:pStyle w:val="Compact"/>
        <w:numPr>
          <w:ilvl w:val="0"/>
          <w:numId w:val="1003"/>
        </w:numPr>
      </w:pPr>
      <w:r>
        <w:t xml:space="preserve">the change develops across the model’s layers;</w:t>
      </w:r>
    </w:p>
    <w:p>
      <w:pPr>
        <w:pStyle w:val="Compact"/>
        <w:numPr>
          <w:ilvl w:val="0"/>
          <w:numId w:val="1003"/>
        </w:numPr>
      </w:pPr>
      <w:r>
        <w:t xml:space="preserve">the resulting activation shift is relatively low-dimensional;</w:t>
      </w:r>
    </w:p>
    <w:p>
      <w:pPr>
        <w:pStyle w:val="Compact"/>
        <w:numPr>
          <w:ilvl w:val="0"/>
          <w:numId w:val="1003"/>
        </w:numPr>
      </w:pPr>
      <w:r>
        <w:t xml:space="preserve">the shift depends semantically on the concept named in the trigger;</w:t>
      </w:r>
    </w:p>
    <w:p>
      <w:pPr>
        <w:pStyle w:val="Compact"/>
        <w:numPr>
          <w:ilvl w:val="0"/>
          <w:numId w:val="1003"/>
        </w:numPr>
      </w:pPr>
      <w:r>
        <w:t xml:space="preserve">the model can generalize the concealment strategy to unseen monitors.</w:t>
      </w:r>
    </w:p>
    <w:p>
      <w:pPr>
        <w:pStyle w:val="FirstParagraph"/>
      </w:pPr>
      <w:r>
        <w:t xml:space="preserve">However, the paper does not provide a component-level causal explanation of how the model performs this transformation.</w:t>
      </w:r>
    </w:p>
    <w:p>
      <w:pPr>
        <w:pStyle w:val="BodyText"/>
      </w:pPr>
      <w:r>
        <w:t xml:space="preserve">It does not establish:</w:t>
      </w:r>
    </w:p>
    <w:p>
      <w:pPr>
        <w:pStyle w:val="Compact"/>
        <w:numPr>
          <w:ilvl w:val="0"/>
          <w:numId w:val="1004"/>
        </w:numPr>
      </w:pPr>
      <w:r>
        <w:t xml:space="preserve">which attention heads or MLPs interpret the monitoring instruction;</w:t>
      </w:r>
    </w:p>
    <w:p>
      <w:pPr>
        <w:pStyle w:val="Compact"/>
        <w:numPr>
          <w:ilvl w:val="0"/>
          <w:numId w:val="1004"/>
        </w:numPr>
      </w:pPr>
      <w:r>
        <w:t xml:space="preserve">which components identify the named concept;</w:t>
      </w:r>
    </w:p>
    <w:p>
      <w:pPr>
        <w:pStyle w:val="Compact"/>
        <w:numPr>
          <w:ilvl w:val="0"/>
          <w:numId w:val="1004"/>
        </w:numPr>
      </w:pPr>
      <w:r>
        <w:t xml:space="preserve">which components generate the activation shift;</w:t>
      </w:r>
    </w:p>
    <w:p>
      <w:pPr>
        <w:pStyle w:val="Compact"/>
        <w:numPr>
          <w:ilvl w:val="0"/>
          <w:numId w:val="1004"/>
        </w:numPr>
      </w:pPr>
      <w:r>
        <w:t xml:space="preserve">whether the same components are reused across concepts;</w:t>
      </w:r>
    </w:p>
    <w:p>
      <w:pPr>
        <w:pStyle w:val="Compact"/>
        <w:numPr>
          <w:ilvl w:val="0"/>
          <w:numId w:val="1004"/>
        </w:numPr>
      </w:pPr>
      <w:r>
        <w:t xml:space="preserve">whether intervening on those components can reliably turn evasion on or off.</w:t>
      </w:r>
    </w:p>
    <w:p>
      <w:pPr>
        <w:pStyle w:val="FirstParagraph"/>
      </w:pPr>
      <w:r>
        <w:t xml:space="preserve">The authors have released a layer-12 Gemma-2-9B Neural Chameleon checkpoint, probe weights, evaluation data, and a minimal reproduction. We can therefore begin directly with the existing organism rather than spending the project retraining it.</w:t>
      </w:r>
    </w:p>
    <w:bookmarkEnd w:id="22"/>
    <w:bookmarkStart w:id="27" w:name="why-this-is-important"/>
    <w:p>
      <w:pPr>
        <w:pStyle w:val="Heading2"/>
      </w:pPr>
      <w:r>
        <w:t xml:space="preserve">3. Why this is important</w:t>
      </w:r>
    </w:p>
    <w:p>
      <w:pPr>
        <w:pStyle w:val="FirstParagraph"/>
      </w:pPr>
      <w:r>
        <w:t xml:space="preserve">Activation monitoring is being explored as a way to detect information or intentions that may not be visible in a model’s final output.</w:t>
      </w:r>
    </w:p>
    <w:p>
      <w:pPr>
        <w:pStyle w:val="BodyText"/>
      </w:pPr>
      <w:r>
        <w:t xml:space="preserve">Its usefulness depends on the assumption that safety-relevant internal information remains detectably represented.</w:t>
      </w:r>
    </w:p>
    <w:p>
      <w:pPr>
        <w:pStyle w:val="BodyText"/>
      </w:pPr>
      <w:r>
        <w:t xml:space="preserve">Neural Chameleons challenge that assumption. They demonstrate that a model can learn to preserve its external behavior while making a monitor substantially less effective.</w:t>
      </w:r>
    </w:p>
    <w:p>
      <w:pPr>
        <w:pStyle w:val="BodyText"/>
      </w:pPr>
      <w:r>
        <w:t xml:space="preserve">Understanding the causal mechanism matters for several reasons.</w:t>
      </w:r>
    </w:p>
    <w:bookmarkStart w:id="23" w:name="clarifying-the-threat"/>
    <w:p>
      <w:pPr>
        <w:pStyle w:val="Heading3"/>
      </w:pPr>
      <w:r>
        <w:t xml:space="preserve">Clarifying the threat</w:t>
      </w:r>
    </w:p>
    <w:p>
      <w:pPr>
        <w:pStyle w:val="FirstParagraph"/>
      </w:pPr>
      <w:r>
        <w:t xml:space="preserve">The current results show that activation-monitor evasion is possible, but they do not tell us how difficult the mechanism is to implement internally.</w:t>
      </w:r>
    </w:p>
    <w:p>
      <w:pPr>
        <w:pStyle w:val="BodyText"/>
      </w:pPr>
      <w:r>
        <w:t xml:space="preserve">A small, reusable circuit would suggest that semantic self-obfuscation may be a relatively modular capability. A broad, distributed mechanism would suggest that it may be harder to isolate or disable.</w:t>
      </w:r>
    </w:p>
    <w:bookmarkEnd w:id="23"/>
    <w:bookmarkStart w:id="24" w:name="improving-monitoring-defenses"/>
    <w:p>
      <w:pPr>
        <w:pStyle w:val="Heading3"/>
      </w:pPr>
      <w:r>
        <w:t xml:space="preserve">Improving monitoring defenses</w:t>
      </w:r>
    </w:p>
    <w:p>
      <w:pPr>
        <w:pStyle w:val="FirstParagraph"/>
      </w:pPr>
      <w:r>
        <w:t xml:space="preserve">If evasion relies on identifiable components, future monitoring systems may be able to:</w:t>
      </w:r>
    </w:p>
    <w:p>
      <w:pPr>
        <w:pStyle w:val="Compact"/>
        <w:numPr>
          <w:ilvl w:val="0"/>
          <w:numId w:val="1005"/>
        </w:numPr>
      </w:pPr>
      <w:r>
        <w:t xml:space="preserve">detect when the concealment mechanism is active;</w:t>
      </w:r>
    </w:p>
    <w:p>
      <w:pPr>
        <w:pStyle w:val="Compact"/>
        <w:numPr>
          <w:ilvl w:val="0"/>
          <w:numId w:val="1005"/>
        </w:numPr>
      </w:pPr>
      <w:r>
        <w:t xml:space="preserve">monitor components upstream of the activation shift;</w:t>
      </w:r>
    </w:p>
    <w:p>
      <w:pPr>
        <w:pStyle w:val="Compact"/>
        <w:numPr>
          <w:ilvl w:val="0"/>
          <w:numId w:val="1005"/>
        </w:numPr>
      </w:pPr>
      <w:r>
        <w:t xml:space="preserve">intervene on the mechanism;</w:t>
      </w:r>
    </w:p>
    <w:p>
      <w:pPr>
        <w:pStyle w:val="Compact"/>
        <w:numPr>
          <w:ilvl w:val="0"/>
          <w:numId w:val="1005"/>
        </w:numPr>
      </w:pPr>
      <w:r>
        <w:t xml:space="preserve">use representations that are less vulnerable to the transformation.</w:t>
      </w:r>
    </w:p>
    <w:bookmarkEnd w:id="24"/>
    <w:bookmarkStart w:id="25" w:name="understanding-generalization"/>
    <w:p>
      <w:pPr>
        <w:pStyle w:val="Heading3"/>
      </w:pPr>
      <w:r>
        <w:t xml:space="preserve">Understanding generalization</w:t>
      </w:r>
    </w:p>
    <w:p>
      <w:pPr>
        <w:pStyle w:val="FirstParagraph"/>
      </w:pPr>
      <w:r>
        <w:t xml:space="preserve">The most striking part of the Neural Chameleon result is that training on harmless concepts transfers to unseen safety concepts.</w:t>
      </w:r>
    </w:p>
    <w:p>
      <w:pPr>
        <w:pStyle w:val="BodyText"/>
      </w:pPr>
      <w:r>
        <w:t xml:space="preserve">A component-level analysis could reveal whether that transfer is implemented by:</w:t>
      </w:r>
    </w:p>
    <w:p>
      <w:pPr>
        <w:pStyle w:val="Compact"/>
        <w:numPr>
          <w:ilvl w:val="0"/>
          <w:numId w:val="1006"/>
        </w:numPr>
      </w:pPr>
      <w:r>
        <w:t xml:space="preserve">one general-purpose concealment circuit;</w:t>
      </w:r>
    </w:p>
    <w:p>
      <w:pPr>
        <w:pStyle w:val="Compact"/>
        <w:numPr>
          <w:ilvl w:val="0"/>
          <w:numId w:val="1006"/>
        </w:numPr>
      </w:pPr>
      <w:r>
        <w:t xml:space="preserve">concept-specific routing into a shared actuator;</w:t>
      </w:r>
    </w:p>
    <w:p>
      <w:pPr>
        <w:pStyle w:val="Compact"/>
        <w:numPr>
          <w:ilvl w:val="0"/>
          <w:numId w:val="1006"/>
        </w:numPr>
      </w:pPr>
      <w:r>
        <w:t xml:space="preserve">several overlapping mechanisms;</w:t>
      </w:r>
    </w:p>
    <w:p>
      <w:pPr>
        <w:pStyle w:val="Compact"/>
        <w:numPr>
          <w:ilvl w:val="0"/>
          <w:numId w:val="1006"/>
        </w:numPr>
      </w:pPr>
      <w:r>
        <w:t xml:space="preserve">or a broadly distributed representational change.</w:t>
      </w:r>
    </w:p>
    <w:bookmarkEnd w:id="25"/>
    <w:bookmarkStart w:id="26" w:name="advancing-the-original-result"/>
    <w:p>
      <w:pPr>
        <w:pStyle w:val="Heading3"/>
      </w:pPr>
      <w:r>
        <w:t xml:space="preserve">Advancing the original result</w:t>
      </w:r>
    </w:p>
    <w:p>
      <w:pPr>
        <w:pStyle w:val="FirstParagraph"/>
      </w:pPr>
      <w:r>
        <w:t xml:space="preserve">The project addresses a concrete open question left by the original paper. It moves from demonstrating that evasion occurs to investigating how the model causally produces it.</w:t>
      </w:r>
    </w:p>
    <w:p>
      <w:pPr>
        <w:pStyle w:val="BodyText"/>
      </w:pPr>
      <w:r>
        <w:t xml:space="preserve">Even a negative result could be valuable. For example, finding that no compact or reusable circuit exists would place meaningful constraints on mechanistic explanations of the phenomenon.</w:t>
      </w:r>
    </w:p>
    <w:bookmarkEnd w:id="26"/>
    <w:bookmarkEnd w:id="27"/>
    <w:bookmarkStart w:id="42" w:name="X1a566490dede1a323dbbeb2b356049a23bcde20"/>
    <w:p>
      <w:pPr>
        <w:pStyle w:val="Heading2"/>
      </w:pPr>
      <w:r>
        <w:t xml:space="preserve">4. How we intend to complete it in two weeks</w:t>
      </w:r>
    </w:p>
    <w:p>
      <w:pPr>
        <w:pStyle w:val="FirstParagraph"/>
      </w:pPr>
      <w:r>
        <w:t xml:space="preserve">We will use the publicly released layer-12 Neural Chameleon and probes throughout. We will not retrain the organism.</w:t>
      </w:r>
    </w:p>
    <w:p>
      <w:pPr>
        <w:pStyle w:val="BodyText"/>
      </w:pPr>
      <w:r>
        <w:t xml:space="preserve">At the start of the project, we will copy or download:</w:t>
      </w:r>
    </w:p>
    <w:p>
      <w:pPr>
        <w:pStyle w:val="Compact"/>
        <w:numPr>
          <w:ilvl w:val="0"/>
          <w:numId w:val="1007"/>
        </w:numPr>
      </w:pPr>
      <w:r>
        <w:t xml:space="preserve">the released</w:t>
      </w:r>
      <w:r>
        <w:t xml:space="preserve"> </w:t>
      </w:r>
      <w:r>
        <w:rPr>
          <w:rStyle w:val="VerbatimChar"/>
        </w:rPr>
        <w:t xml:space="preserve">serteal/neural-chameleon-gemma_2_9b-layer_12</w:t>
      </w:r>
      <w:r>
        <w:t xml:space="preserve"> </w:t>
      </w:r>
      <w:r>
        <w:t xml:space="preserve">checkpoint from Hugging Face;</w:t>
      </w:r>
    </w:p>
    <w:p>
      <w:pPr>
        <w:pStyle w:val="Compact"/>
        <w:numPr>
          <w:ilvl w:val="0"/>
          <w:numId w:val="1007"/>
        </w:numPr>
      </w:pPr>
      <w:r>
        <w:t xml:space="preserve">the released logistic-probe weights from the</w:t>
      </w:r>
      <w:r>
        <w:t xml:space="preserve"> </w:t>
      </w:r>
      <w:r>
        <w:rPr>
          <w:rStyle w:val="VerbatimChar"/>
        </w:rPr>
        <w:t xml:space="preserve">serteal/minimal_neural_chameleons</w:t>
      </w:r>
      <w:r>
        <w:t xml:space="preserve"> </w:t>
      </w:r>
      <w:r>
        <w:t xml:space="preserve">repository;</w:t>
      </w:r>
    </w:p>
    <w:p>
      <w:pPr>
        <w:pStyle w:val="Compact"/>
        <w:numPr>
          <w:ilvl w:val="0"/>
          <w:numId w:val="1007"/>
        </w:numPr>
      </w:pPr>
      <w:r>
        <w:t xml:space="preserve">the associated benign, deception, and harmfulness evaluation data;</w:t>
      </w:r>
    </w:p>
    <w:p>
      <w:pPr>
        <w:pStyle w:val="Compact"/>
        <w:numPr>
          <w:ilvl w:val="0"/>
          <w:numId w:val="1007"/>
        </w:numPr>
      </w:pPr>
      <w:r>
        <w:t xml:space="preserve">the authors’ full</w:t>
      </w:r>
      <w:r>
        <w:t xml:space="preserve"> </w:t>
      </w:r>
      <w:r>
        <w:rPr>
          <w:rStyle w:val="VerbatimChar"/>
        </w:rPr>
        <w:t xml:space="preserve">mgm52/neural-chameleons</w:t>
      </w:r>
      <w:r>
        <w:t xml:space="preserve"> </w:t>
      </w:r>
      <w:r>
        <w:t xml:space="preserve">repository for reference and access to the original experimental pipeline.</w:t>
      </w:r>
    </w:p>
    <w:p>
      <w:pPr>
        <w:pStyle w:val="FirstParagraph"/>
      </w:pPr>
      <w:r>
        <w:t xml:space="preserve">We will record the exact repository commits, Hugging Face model revision, probe-file hashes, and environment used.</w:t>
      </w:r>
    </w:p>
    <w:bookmarkStart w:id="28" w:name="Xc6f3ff30d1644626d7863e29fe9b5837635b0c1"/>
    <w:p>
      <w:pPr>
        <w:pStyle w:val="Heading3"/>
      </w:pPr>
      <w:r>
        <w:t xml:space="preserve">Day 1: acquire the released artifacts and reproduce evasion</w:t>
      </w:r>
    </w:p>
    <w:p>
      <w:pPr>
        <w:pStyle w:val="FirstParagraph"/>
      </w:pPr>
      <w:r>
        <w:t xml:space="preserve">We will:</w:t>
      </w:r>
    </w:p>
    <w:p>
      <w:pPr>
        <w:pStyle w:val="Compact"/>
        <w:numPr>
          <w:ilvl w:val="0"/>
          <w:numId w:val="1008"/>
        </w:numPr>
      </w:pPr>
      <w:r>
        <w:t xml:space="preserve">clone the minimal reproduction repository;</w:t>
      </w:r>
    </w:p>
    <w:p>
      <w:pPr>
        <w:pStyle w:val="Compact"/>
        <w:numPr>
          <w:ilvl w:val="0"/>
          <w:numId w:val="1008"/>
        </w:numPr>
      </w:pPr>
      <w:r>
        <w:t xml:space="preserve">download or copy the released layer-12 model checkpoint;</w:t>
      </w:r>
    </w:p>
    <w:p>
      <w:pPr>
        <w:pStyle w:val="Compact"/>
        <w:numPr>
          <w:ilvl w:val="0"/>
          <w:numId w:val="1008"/>
        </w:numPr>
      </w:pPr>
      <w:r>
        <w:t xml:space="preserve">copy the released probe weights and evaluation data;</w:t>
      </w:r>
    </w:p>
    <w:p>
      <w:pPr>
        <w:pStyle w:val="Compact"/>
        <w:numPr>
          <w:ilvl w:val="0"/>
          <w:numId w:val="1008"/>
        </w:numPr>
      </w:pPr>
      <w:r>
        <w:t xml:space="preserve">clone the authors’ full experimental repository for reference;</w:t>
      </w:r>
    </w:p>
    <w:p>
      <w:pPr>
        <w:pStyle w:val="Compact"/>
        <w:numPr>
          <w:ilvl w:val="0"/>
          <w:numId w:val="1008"/>
        </w:numPr>
      </w:pPr>
      <w:r>
        <w:t xml:space="preserve">pin the exact revisions and calculate file hashes;</w:t>
      </w:r>
    </w:p>
    <w:p>
      <w:pPr>
        <w:pStyle w:val="Compact"/>
        <w:numPr>
          <w:ilvl w:val="0"/>
          <w:numId w:val="1008"/>
        </w:numPr>
      </w:pPr>
      <w:r>
        <w:t xml:space="preserve">install the required dependencies;</w:t>
      </w:r>
    </w:p>
    <w:p>
      <w:pPr>
        <w:pStyle w:val="Compact"/>
        <w:numPr>
          <w:ilvl w:val="0"/>
          <w:numId w:val="1008"/>
        </w:numPr>
      </w:pPr>
      <w:r>
        <w:t xml:space="preserve">run the released demonstration;</w:t>
      </w:r>
    </w:p>
    <w:p>
      <w:pPr>
        <w:pStyle w:val="Compact"/>
        <w:numPr>
          <w:ilvl w:val="0"/>
          <w:numId w:val="1008"/>
        </w:numPr>
      </w:pPr>
      <w:r>
        <w:t xml:space="preserve">reproduce probe suppression for several benign concepts;</w:t>
      </w:r>
    </w:p>
    <w:p>
      <w:pPr>
        <w:pStyle w:val="Compact"/>
        <w:numPr>
          <w:ilvl w:val="0"/>
          <w:numId w:val="1008"/>
        </w:numPr>
      </w:pPr>
      <w:r>
        <w:t xml:space="preserve">reproduce probe suppression for deception and harmfulness;</w:t>
      </w:r>
    </w:p>
    <w:p>
      <w:pPr>
        <w:pStyle w:val="Compact"/>
        <w:numPr>
          <w:ilvl w:val="0"/>
          <w:numId w:val="1008"/>
        </w:numPr>
      </w:pPr>
      <w:r>
        <w:t xml:space="preserve">verify that irrelevant triggers do not produce the same suppression.</w:t>
      </w:r>
    </w:p>
    <w:p>
      <w:pPr>
        <w:pStyle w:val="FirstParagraph"/>
      </w:pPr>
      <w:r>
        <w:t xml:space="preserve">We will record:</w:t>
      </w:r>
    </w:p>
    <w:p>
      <w:pPr>
        <w:pStyle w:val="Compact"/>
        <w:numPr>
          <w:ilvl w:val="0"/>
          <w:numId w:val="1009"/>
        </w:numPr>
      </w:pPr>
      <w:r>
        <w:t xml:space="preserve">normal probe scores;</w:t>
      </w:r>
    </w:p>
    <w:p>
      <w:pPr>
        <w:pStyle w:val="Compact"/>
        <w:numPr>
          <w:ilvl w:val="0"/>
          <w:numId w:val="1009"/>
        </w:numPr>
      </w:pPr>
      <w:r>
        <w:t xml:space="preserve">correctly triggered probe scores;</w:t>
      </w:r>
    </w:p>
    <w:p>
      <w:pPr>
        <w:pStyle w:val="Compact"/>
        <w:numPr>
          <w:ilvl w:val="0"/>
          <w:numId w:val="1009"/>
        </w:numPr>
      </w:pPr>
      <w:r>
        <w:t xml:space="preserve">irrelevant-trigger probe scores;</w:t>
      </w:r>
    </w:p>
    <w:p>
      <w:pPr>
        <w:pStyle w:val="Compact"/>
        <w:numPr>
          <w:ilvl w:val="0"/>
          <w:numId w:val="1009"/>
        </w:numPr>
      </w:pPr>
      <w:r>
        <w:t xml:space="preserve">basic output comparisons between conditions.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reproducible environment, artifact manifest, and baseline results table.</w:t>
      </w:r>
    </w:p>
    <w:p>
      <w:pPr>
        <w:pStyle w:val="BodyText"/>
      </w:pPr>
      <w:r>
        <w:rPr>
          <w:b/>
          <w:bCs/>
        </w:rPr>
        <w:t xml:space="preserve">Stop condition:</w:t>
      </w:r>
      <w:r>
        <w:t xml:space="preserve"> </w:t>
      </w:r>
      <w:r>
        <w:t xml:space="preserve">do not begin mechanistic analysis unless the released setup reliably reproduces the phenomenon.</w:t>
      </w:r>
    </w:p>
    <w:bookmarkEnd w:id="28"/>
    <w:bookmarkStart w:id="29" w:name="Xab7f92bfcae6fb34f6fb273120176724203e9ad"/>
    <w:p>
      <w:pPr>
        <w:pStyle w:val="Heading3"/>
      </w:pPr>
      <w:r>
        <w:t xml:space="preserve">Day 2: understand and specify the experiment</w:t>
      </w:r>
    </w:p>
    <w:p>
      <w:pPr>
        <w:pStyle w:val="FirstParagraph"/>
      </w:pPr>
      <w:r>
        <w:t xml:space="preserve">We will closely inspect the model-loading, activation-extraction, probe, and trigger code.</w:t>
      </w:r>
    </w:p>
    <w:p>
      <w:pPr>
        <w:pStyle w:val="BodyText"/>
      </w:pPr>
      <w:r>
        <w:t xml:space="preserve">We will document:</w:t>
      </w:r>
    </w:p>
    <w:p>
      <w:pPr>
        <w:pStyle w:val="Compact"/>
        <w:numPr>
          <w:ilvl w:val="0"/>
          <w:numId w:val="1010"/>
        </w:numPr>
      </w:pPr>
      <w:r>
        <w:t xml:space="preserve">the exact model checkpoint;</w:t>
      </w:r>
    </w:p>
    <w:p>
      <w:pPr>
        <w:pStyle w:val="Compact"/>
        <w:numPr>
          <w:ilvl w:val="0"/>
          <w:numId w:val="1010"/>
        </w:numPr>
      </w:pPr>
      <w:r>
        <w:t xml:space="preserve">the exact probe files;</w:t>
      </w:r>
    </w:p>
    <w:p>
      <w:pPr>
        <w:pStyle w:val="Compact"/>
        <w:numPr>
          <w:ilvl w:val="0"/>
          <w:numId w:val="1010"/>
        </w:numPr>
      </w:pPr>
      <w:r>
        <w:t xml:space="preserve">how layer numbers are indexed;</w:t>
      </w:r>
    </w:p>
    <w:p>
      <w:pPr>
        <w:pStyle w:val="Compact"/>
        <w:numPr>
          <w:ilvl w:val="0"/>
          <w:numId w:val="1010"/>
        </w:numPr>
      </w:pPr>
      <w:r>
        <w:t xml:space="preserve">which residual-stream location is measured;</w:t>
      </w:r>
    </w:p>
    <w:p>
      <w:pPr>
        <w:pStyle w:val="Compact"/>
        <w:numPr>
          <w:ilvl w:val="0"/>
          <w:numId w:val="1010"/>
        </w:numPr>
      </w:pPr>
      <w:r>
        <w:t xml:space="preserve">whether activations are taken before or after the relevant transformer block;</w:t>
      </w:r>
    </w:p>
    <w:p>
      <w:pPr>
        <w:pStyle w:val="Compact"/>
        <w:numPr>
          <w:ilvl w:val="0"/>
          <w:numId w:val="1010"/>
        </w:numPr>
      </w:pPr>
      <w:r>
        <w:t xml:space="preserve">which token positions are passed into the probe;</w:t>
      </w:r>
    </w:p>
    <w:p>
      <w:pPr>
        <w:pStyle w:val="Compact"/>
        <w:numPr>
          <w:ilvl w:val="0"/>
          <w:numId w:val="1010"/>
        </w:numPr>
      </w:pPr>
      <w:r>
        <w:t xml:space="preserve">how token scores are pooled;</w:t>
      </w:r>
    </w:p>
    <w:p>
      <w:pPr>
        <w:pStyle w:val="Compact"/>
        <w:numPr>
          <w:ilvl w:val="0"/>
          <w:numId w:val="1010"/>
        </w:numPr>
      </w:pPr>
      <w:r>
        <w:t xml:space="preserve">how the trigger is inserted;</w:t>
      </w:r>
    </w:p>
    <w:p>
      <w:pPr>
        <w:pStyle w:val="Compact"/>
        <w:numPr>
          <w:ilvl w:val="0"/>
          <w:numId w:val="1010"/>
        </w:numPr>
      </w:pPr>
      <w:r>
        <w:t xml:space="preserve">how probe scores are calculated;</w:t>
      </w:r>
    </w:p>
    <w:p>
      <w:pPr>
        <w:pStyle w:val="Compact"/>
        <w:numPr>
          <w:ilvl w:val="0"/>
          <w:numId w:val="1010"/>
        </w:numPr>
      </w:pPr>
      <w:r>
        <w:t xml:space="preserve">the primary metric for causal interventions.</w:t>
      </w:r>
    </w:p>
    <w:p>
      <w:pPr>
        <w:pStyle w:val="FirstParagraph"/>
      </w:pPr>
      <w:r>
        <w:t xml:space="preserve">We will define our main intervention metric as the fraction of the trigger-induced probe suppression recovered by patching.</w:t>
      </w:r>
    </w:p>
    <w:p>
      <w:pPr>
        <w:pStyle w:val="BodyText"/>
      </w:pPr>
      <w:r>
        <w:t xml:space="preserve">We will also clearly distinguish the claims we may test:</w:t>
      </w:r>
    </w:p>
    <w:p>
      <w:pPr>
        <w:pStyle w:val="Compact"/>
        <w:numPr>
          <w:ilvl w:val="0"/>
          <w:numId w:val="1011"/>
        </w:numPr>
      </w:pPr>
      <w:r>
        <w:t xml:space="preserve">localization;</w:t>
      </w:r>
    </w:p>
    <w:p>
      <w:pPr>
        <w:pStyle w:val="Compact"/>
        <w:numPr>
          <w:ilvl w:val="0"/>
          <w:numId w:val="1011"/>
        </w:numPr>
      </w:pPr>
      <w:r>
        <w:t xml:space="preserve">necessity;</w:t>
      </w:r>
    </w:p>
    <w:p>
      <w:pPr>
        <w:pStyle w:val="Compact"/>
        <w:numPr>
          <w:ilvl w:val="0"/>
          <w:numId w:val="1011"/>
        </w:numPr>
      </w:pPr>
      <w:r>
        <w:t xml:space="preserve">sufficiency;</w:t>
      </w:r>
    </w:p>
    <w:p>
      <w:pPr>
        <w:pStyle w:val="Compact"/>
        <w:numPr>
          <w:ilvl w:val="0"/>
          <w:numId w:val="1011"/>
        </w:numPr>
      </w:pPr>
      <w:r>
        <w:t xml:space="preserve">cross-concept sharing;</w:t>
      </w:r>
    </w:p>
    <w:p>
      <w:pPr>
        <w:pStyle w:val="Compact"/>
        <w:numPr>
          <w:ilvl w:val="0"/>
          <w:numId w:val="1011"/>
        </w:numPr>
      </w:pPr>
      <w:r>
        <w:t xml:space="preserve">completeness;</w:t>
      </w:r>
    </w:p>
    <w:p>
      <w:pPr>
        <w:pStyle w:val="Compact"/>
        <w:numPr>
          <w:ilvl w:val="0"/>
          <w:numId w:val="1011"/>
        </w:numPr>
      </w:pPr>
      <w:r>
        <w:t xml:space="preserve">behavioral preservation.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rPr>
          <w:rStyle w:val="VerbatimChar"/>
        </w:rPr>
        <w:t xml:space="preserve">EXPERIMENT_SPEC.md</w:t>
      </w:r>
      <w:r>
        <w:t xml:space="preserve">.</w:t>
      </w:r>
    </w:p>
    <w:bookmarkEnd w:id="29"/>
    <w:bookmarkStart w:id="30" w:name="Xca2f4bc5d48e74f2800f3c504af2bbc5bdb6702"/>
    <w:p>
      <w:pPr>
        <w:pStyle w:val="Heading3"/>
      </w:pPr>
      <w:r>
        <w:t xml:space="preserve">Day 3: build the paired intervention framework</w:t>
      </w:r>
    </w:p>
    <w:p>
      <w:pPr>
        <w:pStyle w:val="FirstParagraph"/>
      </w:pPr>
      <w:r>
        <w:t xml:space="preserve">We will create a clean experimental runner capable of comparing:</w:t>
      </w:r>
    </w:p>
    <w:p>
      <w:pPr>
        <w:pStyle w:val="Compact"/>
        <w:numPr>
          <w:ilvl w:val="0"/>
          <w:numId w:val="1012"/>
        </w:numPr>
      </w:pPr>
      <w:r>
        <w:t xml:space="preserve">a normal prompt;</w:t>
      </w:r>
    </w:p>
    <w:p>
      <w:pPr>
        <w:pStyle w:val="Compact"/>
        <w:numPr>
          <w:ilvl w:val="0"/>
          <w:numId w:val="1012"/>
        </w:numPr>
      </w:pPr>
      <w:r>
        <w:t xml:space="preserve">the same prompt with the monitoring trigger;</w:t>
      </w:r>
    </w:p>
    <w:p>
      <w:pPr>
        <w:pStyle w:val="Compact"/>
        <w:numPr>
          <w:ilvl w:val="0"/>
          <w:numId w:val="1012"/>
        </w:numPr>
      </w:pPr>
      <w:r>
        <w:t xml:space="preserve">either condition with selected activations patched.</w:t>
      </w:r>
    </w:p>
    <w:p>
      <w:pPr>
        <w:pStyle w:val="FirstParagraph"/>
      </w:pPr>
      <w:r>
        <w:t xml:space="preserve">The triggered and untriggered conditions will be run using the</w:t>
      </w:r>
      <w:r>
        <w:t xml:space="preserve"> </w:t>
      </w:r>
      <w:r>
        <w:rPr>
          <w:b/>
          <w:bCs/>
        </w:rPr>
        <w:t xml:space="preserve">exact same teacher-forced response tokens</w:t>
      </w:r>
      <w:r>
        <w:t xml:space="preserve">.</w:t>
      </w:r>
    </w:p>
    <w:p>
      <w:pPr>
        <w:pStyle w:val="BodyText"/>
      </w:pPr>
      <w:r>
        <w:t xml:space="preserve">The intervention framework will support patching:</w:t>
      </w:r>
    </w:p>
    <w:p>
      <w:pPr>
        <w:pStyle w:val="Compact"/>
        <w:numPr>
          <w:ilvl w:val="0"/>
          <w:numId w:val="1013"/>
        </w:numPr>
      </w:pPr>
      <w:r>
        <w:t xml:space="preserve">residual-stream activations;</w:t>
      </w:r>
    </w:p>
    <w:p>
      <w:pPr>
        <w:pStyle w:val="Compact"/>
        <w:numPr>
          <w:ilvl w:val="0"/>
          <w:numId w:val="1013"/>
        </w:numPr>
      </w:pPr>
      <w:r>
        <w:t xml:space="preserve">full attention outputs;</w:t>
      </w:r>
    </w:p>
    <w:p>
      <w:pPr>
        <w:pStyle w:val="Compact"/>
        <w:numPr>
          <w:ilvl w:val="0"/>
          <w:numId w:val="1013"/>
        </w:numPr>
      </w:pPr>
      <w:r>
        <w:t xml:space="preserve">full MLP outputs;</w:t>
      </w:r>
    </w:p>
    <w:p>
      <w:pPr>
        <w:pStyle w:val="Compact"/>
        <w:numPr>
          <w:ilvl w:val="0"/>
          <w:numId w:val="1013"/>
        </w:numPr>
      </w:pPr>
      <w:r>
        <w:t xml:space="preserve">full transformer-block outputs;</w:t>
      </w:r>
    </w:p>
    <w:p>
      <w:pPr>
        <w:pStyle w:val="Compact"/>
        <w:numPr>
          <w:ilvl w:val="0"/>
          <w:numId w:val="1013"/>
        </w:numPr>
      </w:pPr>
      <w:r>
        <w:t xml:space="preserve">individual attention-head outputs.</w:t>
      </w:r>
    </w:p>
    <w:p>
      <w:pPr>
        <w:pStyle w:val="FirstParagraph"/>
      </w:pPr>
      <w:r>
        <w:t xml:space="preserve">We will add tests confirming that:</w:t>
      </w:r>
    </w:p>
    <w:p>
      <w:pPr>
        <w:pStyle w:val="Compact"/>
        <w:numPr>
          <w:ilvl w:val="0"/>
          <w:numId w:val="1014"/>
        </w:numPr>
      </w:pPr>
      <w:r>
        <w:t xml:space="preserve">identity patches change nothing;</w:t>
      </w:r>
    </w:p>
    <w:p>
      <w:pPr>
        <w:pStyle w:val="Compact"/>
        <w:numPr>
          <w:ilvl w:val="0"/>
          <w:numId w:val="1014"/>
        </w:numPr>
      </w:pPr>
      <w:r>
        <w:t xml:space="preserve">hooks are applied and removed correctly;</w:t>
      </w:r>
    </w:p>
    <w:p>
      <w:pPr>
        <w:pStyle w:val="Compact"/>
        <w:numPr>
          <w:ilvl w:val="0"/>
          <w:numId w:val="1014"/>
        </w:numPr>
      </w:pPr>
      <w:r>
        <w:t xml:space="preserve">batching agrees with single-example execution;</w:t>
      </w:r>
    </w:p>
    <w:p>
      <w:pPr>
        <w:pStyle w:val="Compact"/>
        <w:numPr>
          <w:ilvl w:val="0"/>
          <w:numId w:val="1014"/>
        </w:numPr>
      </w:pPr>
      <w:r>
        <w:t xml:space="preserve">the continuation tokens are exactly identical;</w:t>
      </w:r>
    </w:p>
    <w:p>
      <w:pPr>
        <w:pStyle w:val="Compact"/>
        <w:numPr>
          <w:ilvl w:val="0"/>
          <w:numId w:val="1014"/>
        </w:numPr>
      </w:pPr>
      <w:r>
        <w:t xml:space="preserve">replacing a full measured activation with the source activation moves the result toward the source run.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tested paired forward-pass and intervention runner.</w:t>
      </w:r>
    </w:p>
    <w:bookmarkEnd w:id="30"/>
    <w:bookmarkStart w:id="31" w:name="X26e3b446b9f4d16c247b38ea7abbcec6e43feb0"/>
    <w:p>
      <w:pPr>
        <w:pStyle w:val="Heading3"/>
      </w:pPr>
      <w:r>
        <w:t xml:space="preserve">Day 4: create and lock the experimental splits</w:t>
      </w:r>
    </w:p>
    <w:p>
      <w:pPr>
        <w:pStyle w:val="FirstParagraph"/>
      </w:pPr>
      <w:r>
        <w:t xml:space="preserve">We will construct three concept splits.</w:t>
      </w:r>
    </w:p>
    <w:p>
      <w:pPr>
        <w:pStyle w:val="BodyText"/>
      </w:pPr>
      <w:r>
        <w:rPr>
          <w:b/>
          <w:bCs/>
        </w:rPr>
        <w:t xml:space="preserve">Discovery concepts</w:t>
      </w:r>
    </w:p>
    <w:p>
      <w:pPr>
        <w:pStyle w:val="BodyText"/>
      </w:pPr>
      <w:r>
        <w:t xml:space="preserve">These will be used to identify and rank components. They will include several benign concepts such as:</w:t>
      </w:r>
    </w:p>
    <w:p>
      <w:pPr>
        <w:pStyle w:val="Compact"/>
        <w:numPr>
          <w:ilvl w:val="0"/>
          <w:numId w:val="1015"/>
        </w:numPr>
      </w:pPr>
      <w:r>
        <w:t xml:space="preserve">German;</w:t>
      </w:r>
    </w:p>
    <w:p>
      <w:pPr>
        <w:pStyle w:val="Compact"/>
        <w:numPr>
          <w:ilvl w:val="0"/>
          <w:numId w:val="1015"/>
        </w:numPr>
      </w:pPr>
      <w:r>
        <w:t xml:space="preserve">HTML;</w:t>
      </w:r>
    </w:p>
    <w:p>
      <w:pPr>
        <w:pStyle w:val="Compact"/>
        <w:numPr>
          <w:ilvl w:val="0"/>
          <w:numId w:val="1015"/>
        </w:numPr>
      </w:pPr>
      <w:r>
        <w:t xml:space="preserve">biology;</w:t>
      </w:r>
    </w:p>
    <w:p>
      <w:pPr>
        <w:pStyle w:val="Compact"/>
        <w:numPr>
          <w:ilvl w:val="0"/>
          <w:numId w:val="1015"/>
        </w:numPr>
      </w:pPr>
      <w:r>
        <w:t xml:space="preserve">comforting.</w:t>
      </w:r>
    </w:p>
    <w:p>
      <w:pPr>
        <w:pStyle w:val="FirstParagraph"/>
      </w:pPr>
      <w:r>
        <w:rPr>
          <w:b/>
          <w:bCs/>
        </w:rPr>
        <w:t xml:space="preserve">Validation concepts</w:t>
      </w:r>
    </w:p>
    <w:p>
      <w:pPr>
        <w:pStyle w:val="BodyText"/>
      </w:pPr>
      <w:r>
        <w:t xml:space="preserve">These will be held out while selecting components and used to test benign cross-concept transfer.</w:t>
      </w:r>
    </w:p>
    <w:p>
      <w:pPr>
        <w:pStyle w:val="BodyText"/>
      </w:pPr>
      <w:r>
        <w:rPr>
          <w:b/>
          <w:bCs/>
        </w:rPr>
        <w:t xml:space="preserve">Locked safety test</w:t>
      </w:r>
    </w:p>
    <w:p>
      <w:pPr>
        <w:pStyle w:val="BodyText"/>
      </w:pPr>
      <w:r>
        <w:t xml:space="preserve">This will contain:</w:t>
      </w:r>
    </w:p>
    <w:p>
      <w:pPr>
        <w:pStyle w:val="Compact"/>
        <w:numPr>
          <w:ilvl w:val="0"/>
          <w:numId w:val="1016"/>
        </w:numPr>
      </w:pPr>
      <w:r>
        <w:t xml:space="preserve">deception;</w:t>
      </w:r>
    </w:p>
    <w:p>
      <w:pPr>
        <w:pStyle w:val="Compact"/>
        <w:numPr>
          <w:ilvl w:val="0"/>
          <w:numId w:val="1016"/>
        </w:numPr>
      </w:pPr>
      <w:r>
        <w:t xml:space="preserve">harmfulness.</w:t>
      </w:r>
    </w:p>
    <w:p>
      <w:pPr>
        <w:pStyle w:val="FirstParagraph"/>
      </w:pPr>
      <w:r>
        <w:t xml:space="preserve">We will include both positive and negative examples for each probe.</w:t>
      </w:r>
    </w:p>
    <w:p>
      <w:pPr>
        <w:pStyle w:val="BodyText"/>
      </w:pPr>
      <w:r>
        <w:t xml:space="preserve">The splits, primary metrics, component-selection rule, and safety-test procedure will be committed before component search begins.</w:t>
      </w:r>
    </w:p>
    <w:p>
      <w:pPr>
        <w:pStyle w:val="BodyText"/>
      </w:pPr>
      <w:r>
        <w:t xml:space="preserve">We will not inspect the locked safety results while choosing components.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committed discovery, validation, and safety-test datasets.</w:t>
      </w:r>
    </w:p>
    <w:bookmarkEnd w:id="31"/>
    <w:bookmarkStart w:id="32" w:name="day-5-establish-rigorous-baselines"/>
    <w:p>
      <w:pPr>
        <w:pStyle w:val="Heading3"/>
      </w:pPr>
      <w:r>
        <w:t xml:space="preserve">Day 5: establish rigorous baselines</w:t>
      </w:r>
    </w:p>
    <w:p>
      <w:pPr>
        <w:pStyle w:val="FirstParagraph"/>
      </w:pPr>
      <w:r>
        <w:t xml:space="preserve">Across the discovery and validation concepts, we will measure:</w:t>
      </w:r>
    </w:p>
    <w:p>
      <w:pPr>
        <w:pStyle w:val="Compact"/>
        <w:numPr>
          <w:ilvl w:val="0"/>
          <w:numId w:val="1017"/>
        </w:numPr>
      </w:pPr>
      <w:r>
        <w:t xml:space="preserve">normal probe performance;</w:t>
      </w:r>
    </w:p>
    <w:p>
      <w:pPr>
        <w:pStyle w:val="Compact"/>
        <w:numPr>
          <w:ilvl w:val="0"/>
          <w:numId w:val="1017"/>
        </w:numPr>
      </w:pPr>
      <w:r>
        <w:t xml:space="preserve">correctly triggered probe performance;</w:t>
      </w:r>
    </w:p>
    <w:p>
      <w:pPr>
        <w:pStyle w:val="Compact"/>
        <w:numPr>
          <w:ilvl w:val="0"/>
          <w:numId w:val="1017"/>
        </w:numPr>
      </w:pPr>
      <w:r>
        <w:t xml:space="preserve">irrelevant-trigger performance;</w:t>
      </w:r>
    </w:p>
    <w:p>
      <w:pPr>
        <w:pStyle w:val="Compact"/>
        <w:numPr>
          <w:ilvl w:val="0"/>
          <w:numId w:val="1017"/>
        </w:numPr>
      </w:pPr>
      <w:r>
        <w:t xml:space="preserve">positive-example score distributions;</w:t>
      </w:r>
    </w:p>
    <w:p>
      <w:pPr>
        <w:pStyle w:val="Compact"/>
        <w:numPr>
          <w:ilvl w:val="0"/>
          <w:numId w:val="1017"/>
        </w:numPr>
      </w:pPr>
      <w:r>
        <w:t xml:space="preserve">negative-example score distributions;</w:t>
      </w:r>
    </w:p>
    <w:p>
      <w:pPr>
        <w:pStyle w:val="Compact"/>
        <w:numPr>
          <w:ilvl w:val="0"/>
          <w:numId w:val="1017"/>
        </w:numPr>
      </w:pPr>
      <w:r>
        <w:t xml:space="preserve">AUROC;</w:t>
      </w:r>
    </w:p>
    <w:p>
      <w:pPr>
        <w:pStyle w:val="Compact"/>
        <w:numPr>
          <w:ilvl w:val="0"/>
          <w:numId w:val="1017"/>
        </w:numPr>
      </w:pPr>
      <w:r>
        <w:t xml:space="preserve">true-positive rate at a fixed false-positive rate;</w:t>
      </w:r>
    </w:p>
    <w:p>
      <w:pPr>
        <w:pStyle w:val="Compact"/>
        <w:numPr>
          <w:ilvl w:val="0"/>
          <w:numId w:val="1017"/>
        </w:numPr>
      </w:pPr>
      <w:r>
        <w:t xml:space="preserve">activation norms;</w:t>
      </w:r>
    </w:p>
    <w:p>
      <w:pPr>
        <w:pStyle w:val="Compact"/>
        <w:numPr>
          <w:ilvl w:val="0"/>
          <w:numId w:val="1017"/>
        </w:numPr>
      </w:pPr>
      <w:r>
        <w:t xml:space="preserve">fixed-continuation likelihood;</w:t>
      </w:r>
    </w:p>
    <w:p>
      <w:pPr>
        <w:pStyle w:val="Compact"/>
        <w:numPr>
          <w:ilvl w:val="0"/>
          <w:numId w:val="1017"/>
        </w:numPr>
      </w:pPr>
      <w:r>
        <w:t xml:space="preserve">confidence intervals over examples.</w:t>
      </w:r>
    </w:p>
    <w:p>
      <w:pPr>
        <w:pStyle w:val="FirstParagraph"/>
      </w:pPr>
      <w:r>
        <w:t xml:space="preserve">Where straightforward, we will also run the original non-chameleon base model to test whether the trigger alone causes similar activation changes or probe suppression.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publication-quality baseline figure and machine-readable results file.</w:t>
      </w:r>
    </w:p>
    <w:bookmarkEnd w:id="32"/>
    <w:bookmarkStart w:id="33" w:name="Xf25fd6e9835c711adec608f7a0975b9ad6fd155"/>
    <w:p>
      <w:pPr>
        <w:pStyle w:val="Heading3"/>
      </w:pPr>
      <w:r>
        <w:t xml:space="preserve">Day 6: perform coarse residual-stream localization</w:t>
      </w:r>
    </w:p>
    <w:p>
      <w:pPr>
        <w:pStyle w:val="FirstParagraph"/>
      </w:pPr>
      <w:r>
        <w:t xml:space="preserve">We will scan the model layer by layer.</w:t>
      </w:r>
    </w:p>
    <w:p>
      <w:pPr>
        <w:pStyle w:val="BodyText"/>
      </w:pPr>
      <w:r>
        <w:t xml:space="preserve">For each candidate layer and relevant token position, we will:</w:t>
      </w:r>
    </w:p>
    <w:p>
      <w:pPr>
        <w:pStyle w:val="Compact"/>
        <w:numPr>
          <w:ilvl w:val="0"/>
          <w:numId w:val="1018"/>
        </w:numPr>
      </w:pPr>
      <w:r>
        <w:t xml:space="preserve">patch normal residual-stream activations into the triggered run;</w:t>
      </w:r>
    </w:p>
    <w:p>
      <w:pPr>
        <w:pStyle w:val="Compact"/>
        <w:numPr>
          <w:ilvl w:val="0"/>
          <w:numId w:val="1018"/>
        </w:numPr>
      </w:pPr>
      <w:r>
        <w:t xml:space="preserve">measure whether monitor detection is restored;</w:t>
      </w:r>
    </w:p>
    <w:p>
      <w:pPr>
        <w:pStyle w:val="Compact"/>
        <w:numPr>
          <w:ilvl w:val="0"/>
          <w:numId w:val="1018"/>
        </w:numPr>
      </w:pPr>
      <w:r>
        <w:t xml:space="preserve">patch triggered residual-stream activations into the normal run;</w:t>
      </w:r>
    </w:p>
    <w:p>
      <w:pPr>
        <w:pStyle w:val="Compact"/>
        <w:numPr>
          <w:ilvl w:val="0"/>
          <w:numId w:val="1018"/>
        </w:numPr>
      </w:pPr>
      <w:r>
        <w:t xml:space="preserve">measure whether evasion is induced.</w:t>
      </w:r>
    </w:p>
    <w:p>
      <w:pPr>
        <w:pStyle w:val="FirstParagraph"/>
      </w:pPr>
      <w:r>
        <w:t xml:space="preserve">We will separately test:</w:t>
      </w:r>
    </w:p>
    <w:p>
      <w:pPr>
        <w:pStyle w:val="Compact"/>
        <w:numPr>
          <w:ilvl w:val="0"/>
          <w:numId w:val="1019"/>
        </w:numPr>
      </w:pPr>
      <w:r>
        <w:t xml:space="preserve">prompt-token patching;</w:t>
      </w:r>
    </w:p>
    <w:p>
      <w:pPr>
        <w:pStyle w:val="Compact"/>
        <w:numPr>
          <w:ilvl w:val="0"/>
          <w:numId w:val="1019"/>
        </w:numPr>
      </w:pPr>
      <w:r>
        <w:t xml:space="preserve">response-token patching;</w:t>
      </w:r>
    </w:p>
    <w:p>
      <w:pPr>
        <w:pStyle w:val="Compact"/>
        <w:numPr>
          <w:ilvl w:val="0"/>
          <w:numId w:val="1019"/>
        </w:numPr>
      </w:pPr>
      <w:r>
        <w:t xml:space="preserve">grouped all-token patching.</w:t>
      </w:r>
    </w:p>
    <w:p>
      <w:pPr>
        <w:pStyle w:val="FirstParagraph"/>
      </w:pPr>
      <w:r>
        <w:t xml:space="preserve">This will help identify:</w:t>
      </w:r>
    </w:p>
    <w:p>
      <w:pPr>
        <w:pStyle w:val="Compact"/>
        <w:numPr>
          <w:ilvl w:val="0"/>
          <w:numId w:val="1020"/>
        </w:numPr>
      </w:pPr>
      <w:r>
        <w:t xml:space="preserve">where the trigger begins to affect the computation;</w:t>
      </w:r>
    </w:p>
    <w:p>
      <w:pPr>
        <w:pStyle w:val="Compact"/>
        <w:numPr>
          <w:ilvl w:val="0"/>
          <w:numId w:val="1020"/>
        </w:numPr>
      </w:pPr>
      <w:r>
        <w:t xml:space="preserve">where the concealment transformation becomes causally important;</w:t>
      </w:r>
    </w:p>
    <w:p>
      <w:pPr>
        <w:pStyle w:val="Compact"/>
        <w:numPr>
          <w:ilvl w:val="0"/>
          <w:numId w:val="1020"/>
        </w:numPr>
      </w:pPr>
      <w:r>
        <w:t xml:space="preserve">whether the effect is localized or distributed across many layers.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layer-by-token rescue and induction heatmaps.</w:t>
      </w:r>
    </w:p>
    <w:bookmarkEnd w:id="33"/>
    <w:bookmarkStart w:id="34" w:name="X0d6a3e7884c403468aafe03d019feedcb718743"/>
    <w:p>
      <w:pPr>
        <w:pStyle w:val="Heading3"/>
      </w:pPr>
      <w:r>
        <w:t xml:space="preserve">Day 7: separate attention and MLP contributions</w:t>
      </w:r>
    </w:p>
    <w:p>
      <w:pPr>
        <w:pStyle w:val="FirstParagraph"/>
      </w:pPr>
      <w:r>
        <w:t xml:space="preserve">Within the causally relevant layer range, we will separately patch:</w:t>
      </w:r>
    </w:p>
    <w:p>
      <w:pPr>
        <w:pStyle w:val="Compact"/>
        <w:numPr>
          <w:ilvl w:val="0"/>
          <w:numId w:val="1021"/>
        </w:numPr>
      </w:pPr>
      <w:r>
        <w:t xml:space="preserve">complete attention-block outputs;</w:t>
      </w:r>
    </w:p>
    <w:p>
      <w:pPr>
        <w:pStyle w:val="Compact"/>
        <w:numPr>
          <w:ilvl w:val="0"/>
          <w:numId w:val="1021"/>
        </w:numPr>
      </w:pPr>
      <w:r>
        <w:t xml:space="preserve">complete MLP outputs;</w:t>
      </w:r>
    </w:p>
    <w:p>
      <w:pPr>
        <w:pStyle w:val="Compact"/>
        <w:numPr>
          <w:ilvl w:val="0"/>
          <w:numId w:val="1021"/>
        </w:numPr>
      </w:pPr>
      <w:r>
        <w:t xml:space="preserve">complete transformer-block outputs.</w:t>
      </w:r>
    </w:p>
    <w:p>
      <w:pPr>
        <w:pStyle w:val="FirstParagraph"/>
      </w:pPr>
      <w:r>
        <w:t xml:space="preserve">We will repeat the strongest interventions across:</w:t>
      </w:r>
    </w:p>
    <w:p>
      <w:pPr>
        <w:pStyle w:val="Compact"/>
        <w:numPr>
          <w:ilvl w:val="0"/>
          <w:numId w:val="1022"/>
        </w:numPr>
      </w:pPr>
      <w:r>
        <w:t xml:space="preserve">multiple discovery concepts;</w:t>
      </w:r>
    </w:p>
    <w:p>
      <w:pPr>
        <w:pStyle w:val="Compact"/>
        <w:numPr>
          <w:ilvl w:val="0"/>
          <w:numId w:val="1022"/>
        </w:numPr>
      </w:pPr>
      <w:r>
        <w:t xml:space="preserve">held-out examples;</w:t>
      </w:r>
    </w:p>
    <w:p>
      <w:pPr>
        <w:pStyle w:val="Compact"/>
        <w:numPr>
          <w:ilvl w:val="0"/>
          <w:numId w:val="1022"/>
        </w:numPr>
      </w:pPr>
      <w:r>
        <w:t xml:space="preserve">positive and negative probe examples;</w:t>
      </w:r>
    </w:p>
    <w:p>
      <w:pPr>
        <w:pStyle w:val="Compact"/>
        <w:numPr>
          <w:ilvl w:val="0"/>
          <w:numId w:val="1022"/>
        </w:numPr>
      </w:pPr>
      <w:r>
        <w:t xml:space="preserve">irrelevant-trigger controls;</w:t>
      </w:r>
    </w:p>
    <w:p>
      <w:pPr>
        <w:pStyle w:val="Compact"/>
        <w:numPr>
          <w:ilvl w:val="0"/>
          <w:numId w:val="1022"/>
        </w:numPr>
      </w:pPr>
      <w:r>
        <w:t xml:space="preserve">random matched layers.</w:t>
      </w:r>
    </w:p>
    <w:p>
      <w:pPr>
        <w:pStyle w:val="FirstParagraph"/>
      </w:pPr>
      <w:r>
        <w:t xml:space="preserve">This will establish whether the effect is primarily:</w:t>
      </w:r>
    </w:p>
    <w:p>
      <w:pPr>
        <w:pStyle w:val="Compact"/>
        <w:numPr>
          <w:ilvl w:val="0"/>
          <w:numId w:val="1023"/>
        </w:numPr>
      </w:pPr>
      <w:r>
        <w:t xml:space="preserve">attention-mediated;</w:t>
      </w:r>
    </w:p>
    <w:p>
      <w:pPr>
        <w:pStyle w:val="Compact"/>
        <w:numPr>
          <w:ilvl w:val="0"/>
          <w:numId w:val="1023"/>
        </w:numPr>
      </w:pPr>
      <w:r>
        <w:t xml:space="preserve">MLP-mediated;</w:t>
      </w:r>
    </w:p>
    <w:p>
      <w:pPr>
        <w:pStyle w:val="Compact"/>
        <w:numPr>
          <w:ilvl w:val="0"/>
          <w:numId w:val="1023"/>
        </w:numPr>
      </w:pPr>
      <w:r>
        <w:t xml:space="preserve">divided between both;</w:t>
      </w:r>
    </w:p>
    <w:p>
      <w:pPr>
        <w:pStyle w:val="Compact"/>
        <w:numPr>
          <w:ilvl w:val="0"/>
          <w:numId w:val="1023"/>
        </w:numPr>
      </w:pPr>
      <w:r>
        <w:t xml:space="preserve">or distributed more broadly.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causal effect by layer and component type.</w:t>
      </w:r>
    </w:p>
    <w:bookmarkEnd w:id="34"/>
    <w:bookmarkStart w:id="35" w:name="X701a301390b7e7848b5511450910104d0760fc7"/>
    <w:p>
      <w:pPr>
        <w:pStyle w:val="Heading3"/>
      </w:pPr>
      <w:r>
        <w:t xml:space="preserve">Day 8: rank and exactly test individual components</w:t>
      </w:r>
    </w:p>
    <w:p>
      <w:pPr>
        <w:pStyle w:val="FirstParagraph"/>
      </w:pPr>
      <w:r>
        <w:t xml:space="preserve">Within the relevant layers, we will rank candidate attention heads and MLPs using inexpensive screening methods such as:</w:t>
      </w:r>
    </w:p>
    <w:p>
      <w:pPr>
        <w:pStyle w:val="Compact"/>
        <w:numPr>
          <w:ilvl w:val="0"/>
          <w:numId w:val="1024"/>
        </w:numPr>
      </w:pPr>
      <w:r>
        <w:t xml:space="preserve">triggered-minus-normal activation differences;</w:t>
      </w:r>
    </w:p>
    <w:p>
      <w:pPr>
        <w:pStyle w:val="Compact"/>
        <w:numPr>
          <w:ilvl w:val="0"/>
          <w:numId w:val="1024"/>
        </w:numPr>
      </w:pPr>
      <w:r>
        <w:t xml:space="preserve">projection onto the probe direction;</w:t>
      </w:r>
    </w:p>
    <w:p>
      <w:pPr>
        <w:pStyle w:val="Compact"/>
        <w:numPr>
          <w:ilvl w:val="0"/>
          <w:numId w:val="1024"/>
        </w:numPr>
      </w:pPr>
      <w:r>
        <w:t xml:space="preserve">attribution patching;</w:t>
      </w:r>
    </w:p>
    <w:p>
      <w:pPr>
        <w:pStyle w:val="Compact"/>
        <w:numPr>
          <w:ilvl w:val="0"/>
          <w:numId w:val="1024"/>
        </w:numPr>
      </w:pPr>
      <w:r>
        <w:t xml:space="preserve">gradient-based estimates;</w:t>
      </w:r>
    </w:p>
    <w:p>
      <w:pPr>
        <w:pStyle w:val="Compact"/>
        <w:numPr>
          <w:ilvl w:val="0"/>
          <w:numId w:val="1024"/>
        </w:numPr>
      </w:pPr>
      <w:r>
        <w:t xml:space="preserve">consistency across examples;</w:t>
      </w:r>
    </w:p>
    <w:p>
      <w:pPr>
        <w:pStyle w:val="Compact"/>
        <w:numPr>
          <w:ilvl w:val="0"/>
          <w:numId w:val="1024"/>
        </w:numPr>
      </w:pPr>
      <w:r>
        <w:t xml:space="preserve">consistency across discovery concepts.</w:t>
      </w:r>
    </w:p>
    <w:p>
      <w:pPr>
        <w:pStyle w:val="FirstParagraph"/>
      </w:pPr>
      <w:r>
        <w:t xml:space="preserve">These methods will only be used to prioritize candidates.</w:t>
      </w:r>
    </w:p>
    <w:p>
      <w:pPr>
        <w:pStyle w:val="BodyText"/>
      </w:pPr>
      <w:r>
        <w:t xml:space="preserve">For the strongest candidates, we will conduct exact activation-patching experiments testing:</w:t>
      </w:r>
    </w:p>
    <w:p>
      <w:pPr>
        <w:pStyle w:val="Compact"/>
        <w:numPr>
          <w:ilvl w:val="0"/>
          <w:numId w:val="1025"/>
        </w:numPr>
      </w:pPr>
      <w:r>
        <w:t xml:space="preserve">normal-to-triggered rescue;</w:t>
      </w:r>
    </w:p>
    <w:p>
      <w:pPr>
        <w:pStyle w:val="Compact"/>
        <w:numPr>
          <w:ilvl w:val="0"/>
          <w:numId w:val="1025"/>
        </w:numPr>
      </w:pPr>
      <w:r>
        <w:t xml:space="preserve">triggered-to-normal induction;</w:t>
      </w:r>
    </w:p>
    <w:p>
      <w:pPr>
        <w:pStyle w:val="Compact"/>
        <w:numPr>
          <w:ilvl w:val="0"/>
          <w:numId w:val="1025"/>
        </w:numPr>
      </w:pPr>
      <w:r>
        <w:t xml:space="preserve">held-out examples;</w:t>
      </w:r>
    </w:p>
    <w:p>
      <w:pPr>
        <w:pStyle w:val="Compact"/>
        <w:numPr>
          <w:ilvl w:val="0"/>
          <w:numId w:val="1025"/>
        </w:numPr>
      </w:pPr>
      <w:r>
        <w:t xml:space="preserve">same-layer random components;</w:t>
      </w:r>
    </w:p>
    <w:p>
      <w:pPr>
        <w:pStyle w:val="Compact"/>
        <w:numPr>
          <w:ilvl w:val="0"/>
          <w:numId w:val="1025"/>
        </w:numPr>
      </w:pPr>
      <w:r>
        <w:t xml:space="preserve">behavioral change.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an exact causal-component leaderboard.</w:t>
      </w:r>
    </w:p>
    <w:bookmarkEnd w:id="35"/>
    <w:bookmarkStart w:id="36" w:name="Xbd273707372f127bc878435772d13d2743f211b"/>
    <w:p>
      <w:pPr>
        <w:pStyle w:val="Heading3"/>
      </w:pPr>
      <w:r>
        <w:t xml:space="preserve">Day 9: test grouped necessity and completeness</w:t>
      </w:r>
    </w:p>
    <w:p>
      <w:pPr>
        <w:pStyle w:val="FirstParagraph"/>
      </w:pPr>
      <w:r>
        <w:t xml:space="preserve">We will create increasingly large sets of candidate components, such as:</w:t>
      </w:r>
    </w:p>
    <w:p>
      <w:pPr>
        <w:pStyle w:val="Compact"/>
        <w:numPr>
          <w:ilvl w:val="0"/>
          <w:numId w:val="1026"/>
        </w:numPr>
      </w:pPr>
      <w:r>
        <w:t xml:space="preserve">top 1;</w:t>
      </w:r>
    </w:p>
    <w:p>
      <w:pPr>
        <w:pStyle w:val="Compact"/>
        <w:numPr>
          <w:ilvl w:val="0"/>
          <w:numId w:val="1026"/>
        </w:numPr>
      </w:pPr>
      <w:r>
        <w:t xml:space="preserve">top 2;</w:t>
      </w:r>
    </w:p>
    <w:p>
      <w:pPr>
        <w:pStyle w:val="Compact"/>
        <w:numPr>
          <w:ilvl w:val="0"/>
          <w:numId w:val="1026"/>
        </w:numPr>
      </w:pPr>
      <w:r>
        <w:t xml:space="preserve">top 4;</w:t>
      </w:r>
    </w:p>
    <w:p>
      <w:pPr>
        <w:pStyle w:val="Compact"/>
        <w:numPr>
          <w:ilvl w:val="0"/>
          <w:numId w:val="1026"/>
        </w:numPr>
      </w:pPr>
      <w:r>
        <w:t xml:space="preserve">top 8;</w:t>
      </w:r>
    </w:p>
    <w:p>
      <w:pPr>
        <w:pStyle w:val="Compact"/>
        <w:numPr>
          <w:ilvl w:val="0"/>
          <w:numId w:val="1026"/>
        </w:numPr>
      </w:pPr>
      <w:r>
        <w:t xml:space="preserve">top 16;</w:t>
      </w:r>
    </w:p>
    <w:p>
      <w:pPr>
        <w:pStyle w:val="Compact"/>
        <w:numPr>
          <w:ilvl w:val="0"/>
          <w:numId w:val="1026"/>
        </w:numPr>
      </w:pPr>
      <w:r>
        <w:t xml:space="preserve">all components in the relevant block.</w:t>
      </w:r>
    </w:p>
    <w:p>
      <w:pPr>
        <w:pStyle w:val="FirstParagraph"/>
      </w:pPr>
      <w:r>
        <w:t xml:space="preserve">For each set, we will measure:</w:t>
      </w:r>
    </w:p>
    <w:p>
      <w:pPr>
        <w:pStyle w:val="Compact"/>
        <w:numPr>
          <w:ilvl w:val="0"/>
          <w:numId w:val="1027"/>
        </w:numPr>
      </w:pPr>
      <w:r>
        <w:t xml:space="preserve">how much of the total probe suppression is removed;</w:t>
      </w:r>
    </w:p>
    <w:p>
      <w:pPr>
        <w:pStyle w:val="Compact"/>
        <w:numPr>
          <w:ilvl w:val="0"/>
          <w:numId w:val="1027"/>
        </w:numPr>
      </w:pPr>
      <w:r>
        <w:t xml:space="preserve">whether the effect exceeds randomly sampled matched component sets;</w:t>
      </w:r>
    </w:p>
    <w:p>
      <w:pPr>
        <w:pStyle w:val="Compact"/>
        <w:numPr>
          <w:ilvl w:val="0"/>
          <w:numId w:val="1027"/>
        </w:numPr>
      </w:pPr>
      <w:r>
        <w:t xml:space="preserve">how much the intervention changes model behavior;</w:t>
      </w:r>
    </w:p>
    <w:p>
      <w:pPr>
        <w:pStyle w:val="Compact"/>
        <w:numPr>
          <w:ilvl w:val="0"/>
          <w:numId w:val="1027"/>
        </w:numPr>
      </w:pPr>
      <w:r>
        <w:t xml:space="preserve">whether positive and negative probe examples are affected appropriately.</w:t>
      </w:r>
    </w:p>
    <w:p>
      <w:pPr>
        <w:pStyle w:val="FirstParagraph"/>
      </w:pPr>
      <w:r>
        <w:t xml:space="preserve">We will plot probe-score recovery against the number of intervened components.</w:t>
      </w:r>
    </w:p>
    <w:p>
      <w:pPr>
        <w:pStyle w:val="BodyText"/>
      </w:pPr>
      <w:r>
        <w:t xml:space="preserve">This will determine whether the mechanism appears:</w:t>
      </w:r>
    </w:p>
    <w:p>
      <w:pPr>
        <w:pStyle w:val="Compact"/>
        <w:numPr>
          <w:ilvl w:val="0"/>
          <w:numId w:val="1028"/>
        </w:numPr>
      </w:pPr>
      <w:r>
        <w:t xml:space="preserve">compact;</w:t>
      </w:r>
    </w:p>
    <w:p>
      <w:pPr>
        <w:pStyle w:val="Compact"/>
        <w:numPr>
          <w:ilvl w:val="0"/>
          <w:numId w:val="1028"/>
        </w:numPr>
      </w:pPr>
      <w:r>
        <w:t xml:space="preserve">moderately distributed;</w:t>
      </w:r>
    </w:p>
    <w:p>
      <w:pPr>
        <w:pStyle w:val="Compact"/>
        <w:numPr>
          <w:ilvl w:val="0"/>
          <w:numId w:val="1028"/>
        </w:numPr>
      </w:pPr>
      <w:r>
        <w:t xml:space="preserve">or highly distributed.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necessity and completeness curves.</w:t>
      </w:r>
    </w:p>
    <w:bookmarkEnd w:id="36"/>
    <w:bookmarkStart w:id="37" w:name="day-10-test-sufficiency"/>
    <w:p>
      <w:pPr>
        <w:pStyle w:val="Heading3"/>
      </w:pPr>
      <w:r>
        <w:t xml:space="preserve">Day 10: test sufficiency</w:t>
      </w:r>
    </w:p>
    <w:p>
      <w:pPr>
        <w:pStyle w:val="FirstParagraph"/>
      </w:pPr>
      <w:r>
        <w:t xml:space="preserve">We will test whether the candidate components can actively create evasion.</w:t>
      </w:r>
    </w:p>
    <w:p>
      <w:pPr>
        <w:pStyle w:val="BodyText"/>
      </w:pPr>
      <w:r>
        <w:t xml:space="preserve">We will transplant naturally occurring triggered activations into otherwise untriggered runs.</w:t>
      </w:r>
    </w:p>
    <w:p>
      <w:pPr>
        <w:pStyle w:val="BodyText"/>
      </w:pPr>
      <w:r>
        <w:t xml:space="preserve">We will test:</w:t>
      </w:r>
    </w:p>
    <w:p>
      <w:pPr>
        <w:pStyle w:val="Compact"/>
        <w:numPr>
          <w:ilvl w:val="0"/>
          <w:numId w:val="1029"/>
        </w:numPr>
      </w:pPr>
      <w:r>
        <w:t xml:space="preserve">each strong component individually;</w:t>
      </w:r>
    </w:p>
    <w:p>
      <w:pPr>
        <w:pStyle w:val="Compact"/>
        <w:numPr>
          <w:ilvl w:val="0"/>
          <w:numId w:val="1029"/>
        </w:numPr>
      </w:pPr>
      <w:r>
        <w:t xml:space="preserve">the complete candidate component set;</w:t>
      </w:r>
    </w:p>
    <w:p>
      <w:pPr>
        <w:pStyle w:val="Compact"/>
        <w:numPr>
          <w:ilvl w:val="0"/>
          <w:numId w:val="1029"/>
        </w:numPr>
      </w:pPr>
      <w:r>
        <w:t xml:space="preserve">the candidate set plus surrounding residual contributions;</w:t>
      </w:r>
    </w:p>
    <w:p>
      <w:pPr>
        <w:pStyle w:val="Compact"/>
        <w:numPr>
          <w:ilvl w:val="0"/>
          <w:numId w:val="1029"/>
        </w:numPr>
      </w:pPr>
      <w:r>
        <w:t xml:space="preserve">randomly selected matched component sets.</w:t>
      </w:r>
    </w:p>
    <w:p>
      <w:pPr>
        <w:pStyle w:val="FirstParagraph"/>
      </w:pPr>
      <w:r>
        <w:t xml:space="preserve">We will also interpolate between normal and triggered component activations to test whether stronger intervention produces progressively stronger evasion.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sufficiency and dose-response figures.</w:t>
      </w:r>
    </w:p>
    <w:bookmarkEnd w:id="37"/>
    <w:bookmarkStart w:id="38" w:name="Xff939d81ea160121e4f0afb0dbcfd4726687c22"/>
    <w:p>
      <w:pPr>
        <w:pStyle w:val="Heading3"/>
      </w:pPr>
      <w:r>
        <w:t xml:space="preserve">Day 11: distinguish the controller from the actuator</w:t>
      </w:r>
    </w:p>
    <w:p>
      <w:pPr>
        <w:pStyle w:val="FirstParagraph"/>
      </w:pPr>
      <w:r>
        <w:t xml:space="preserve">We will investigate whether the mechanism separates into several stages:</w:t>
      </w:r>
    </w:p>
    <w:p>
      <w:pPr>
        <w:pStyle w:val="Compact"/>
        <w:numPr>
          <w:ilvl w:val="0"/>
          <w:numId w:val="1030"/>
        </w:numPr>
      </w:pPr>
      <w:r>
        <w:t xml:space="preserve">recognizing that monitoring is occurring;</w:t>
      </w:r>
    </w:p>
    <w:p>
      <w:pPr>
        <w:pStyle w:val="Compact"/>
        <w:numPr>
          <w:ilvl w:val="0"/>
          <w:numId w:val="1030"/>
        </w:numPr>
      </w:pPr>
      <w:r>
        <w:t xml:space="preserve">identifying the concept named in the trigger;</w:t>
      </w:r>
    </w:p>
    <w:p>
      <w:pPr>
        <w:pStyle w:val="Compact"/>
        <w:numPr>
          <w:ilvl w:val="0"/>
          <w:numId w:val="1030"/>
        </w:numPr>
      </w:pPr>
      <w:r>
        <w:t xml:space="preserve">applying the internal concealment transformation.</w:t>
      </w:r>
    </w:p>
    <w:p>
      <w:pPr>
        <w:pStyle w:val="FirstParagraph"/>
      </w:pPr>
      <w:r>
        <w:t xml:space="preserve">We will test which components depend on:</w:t>
      </w:r>
    </w:p>
    <w:p>
      <w:pPr>
        <w:pStyle w:val="Compact"/>
        <w:numPr>
          <w:ilvl w:val="0"/>
          <w:numId w:val="1031"/>
        </w:numPr>
      </w:pPr>
      <w:r>
        <w:t xml:space="preserve">the monitoring-language portion of the instruction;</w:t>
      </w:r>
    </w:p>
    <w:p>
      <w:pPr>
        <w:pStyle w:val="Compact"/>
        <w:numPr>
          <w:ilvl w:val="0"/>
          <w:numId w:val="1031"/>
        </w:numPr>
      </w:pPr>
      <w:r>
        <w:t xml:space="preserve">the named concept token;</w:t>
      </w:r>
    </w:p>
    <w:p>
      <w:pPr>
        <w:pStyle w:val="Compact"/>
        <w:numPr>
          <w:ilvl w:val="0"/>
          <w:numId w:val="1031"/>
        </w:numPr>
      </w:pPr>
      <w:r>
        <w:t xml:space="preserve">other prompt tokens;</w:t>
      </w:r>
    </w:p>
    <w:p>
      <w:pPr>
        <w:pStyle w:val="Compact"/>
        <w:numPr>
          <w:ilvl w:val="0"/>
          <w:numId w:val="1031"/>
        </w:numPr>
      </w:pPr>
      <w:r>
        <w:t xml:space="preserve">response-token processing.</w:t>
      </w:r>
    </w:p>
    <w:p>
      <w:pPr>
        <w:pStyle w:val="FirstParagraph"/>
      </w:pPr>
      <w:r>
        <w:t xml:space="preserve">For attention heads, we will patch source-position-specific contributions rather than relying only on attention visualizations.</w:t>
      </w:r>
    </w:p>
    <w:p>
      <w:pPr>
        <w:pStyle w:val="BodyText"/>
      </w:pPr>
      <w:r>
        <w:t xml:space="preserve">For MLPs, we will test whether their outputs directly contribute to the anti-probe activation shift.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provisional causal mechanism diagram supported by interventions.</w:t>
      </w:r>
    </w:p>
    <w:bookmarkEnd w:id="38"/>
    <w:bookmarkStart w:id="39" w:name="Xbd263477328c7a5ff5dcfb25c9256ac37be3655"/>
    <w:p>
      <w:pPr>
        <w:pStyle w:val="Heading3"/>
      </w:pPr>
      <w:r>
        <w:t xml:space="preserve">Day 12: test benign cross-concept transfer</w:t>
      </w:r>
    </w:p>
    <w:p>
      <w:pPr>
        <w:pStyle w:val="FirstParagraph"/>
      </w:pPr>
      <w:r>
        <w:t xml:space="preserve">We will freeze a component set selected entirely using the discovery concepts.</w:t>
      </w:r>
    </w:p>
    <w:p>
      <w:pPr>
        <w:pStyle w:val="BodyText"/>
      </w:pPr>
      <w:r>
        <w:t xml:space="preserve">Without reranking or modifying it, we will test the same component set on the held-out benign validation concepts.</w:t>
      </w:r>
    </w:p>
    <w:p>
      <w:pPr>
        <w:pStyle w:val="BodyText"/>
      </w:pPr>
      <w:r>
        <w:t xml:space="preserve">We will measure:</w:t>
      </w:r>
    </w:p>
    <w:p>
      <w:pPr>
        <w:pStyle w:val="Compact"/>
        <w:numPr>
          <w:ilvl w:val="0"/>
          <w:numId w:val="1032"/>
        </w:numPr>
      </w:pPr>
      <w:r>
        <w:t xml:space="preserve">direct causal transfer;</w:t>
      </w:r>
    </w:p>
    <w:p>
      <w:pPr>
        <w:pStyle w:val="Compact"/>
        <w:numPr>
          <w:ilvl w:val="0"/>
          <w:numId w:val="1032"/>
        </w:numPr>
      </w:pPr>
      <w:r>
        <w:t xml:space="preserve">component-ranking correlation;</w:t>
      </w:r>
    </w:p>
    <w:p>
      <w:pPr>
        <w:pStyle w:val="Compact"/>
        <w:numPr>
          <w:ilvl w:val="0"/>
          <w:numId w:val="1032"/>
        </w:numPr>
      </w:pPr>
      <w:r>
        <w:t xml:space="preserve">overlap between concept-specific component rankings;</w:t>
      </w:r>
    </w:p>
    <w:p>
      <w:pPr>
        <w:pStyle w:val="Compact"/>
        <w:numPr>
          <w:ilvl w:val="0"/>
          <w:numId w:val="1032"/>
        </w:numPr>
      </w:pPr>
      <w:r>
        <w:t xml:space="preserve">whether a shared downstream actuator exists;</w:t>
      </w:r>
    </w:p>
    <w:p>
      <w:pPr>
        <w:pStyle w:val="Compact"/>
        <w:numPr>
          <w:ilvl w:val="0"/>
          <w:numId w:val="1032"/>
        </w:numPr>
      </w:pPr>
      <w:r>
        <w:t xml:space="preserve">whether some trigger-reading components remain concept-specific.</w:t>
      </w:r>
    </w:p>
    <w:p>
      <w:pPr>
        <w:pStyle w:val="FirstParagraph"/>
      </w:pPr>
      <w:r>
        <w:t xml:space="preserve">We will decide which mechanistic explanation is best supported:</w:t>
      </w:r>
    </w:p>
    <w:p>
      <w:pPr>
        <w:pStyle w:val="Compact"/>
        <w:numPr>
          <w:ilvl w:val="0"/>
          <w:numId w:val="1033"/>
        </w:numPr>
      </w:pPr>
      <w:r>
        <w:t xml:space="preserve">one shared sparse circuit;</w:t>
      </w:r>
    </w:p>
    <w:p>
      <w:pPr>
        <w:pStyle w:val="Compact"/>
        <w:numPr>
          <w:ilvl w:val="0"/>
          <w:numId w:val="1033"/>
        </w:numPr>
      </w:pPr>
      <w:r>
        <w:t xml:space="preserve">concept-specific routing into a shared actuator;</w:t>
      </w:r>
    </w:p>
    <w:p>
      <w:pPr>
        <w:pStyle w:val="Compact"/>
        <w:numPr>
          <w:ilvl w:val="0"/>
          <w:numId w:val="1033"/>
        </w:numPr>
      </w:pPr>
      <w:r>
        <w:t xml:space="preserve">overlapping but non-identical circuits;</w:t>
      </w:r>
    </w:p>
    <w:p>
      <w:pPr>
        <w:pStyle w:val="Compact"/>
        <w:numPr>
          <w:ilvl w:val="0"/>
          <w:numId w:val="1033"/>
        </w:numPr>
      </w:pPr>
      <w:r>
        <w:t xml:space="preserve">a broadly distributed mechanism.</w:t>
      </w:r>
    </w:p>
    <w:p>
      <w:pPr>
        <w:pStyle w:val="FirstParagraph"/>
      </w:pPr>
      <w:r>
        <w:t xml:space="preserve">At the end of the day, we will freeze:</w:t>
      </w:r>
    </w:p>
    <w:p>
      <w:pPr>
        <w:pStyle w:val="Compact"/>
        <w:numPr>
          <w:ilvl w:val="0"/>
          <w:numId w:val="1034"/>
        </w:numPr>
      </w:pPr>
      <w:r>
        <w:t xml:space="preserve">the final component set;</w:t>
      </w:r>
    </w:p>
    <w:p>
      <w:pPr>
        <w:pStyle w:val="Compact"/>
        <w:numPr>
          <w:ilvl w:val="0"/>
          <w:numId w:val="1034"/>
        </w:numPr>
      </w:pPr>
      <w:r>
        <w:t xml:space="preserve">the safety-test analysis script;</w:t>
      </w:r>
    </w:p>
    <w:p>
      <w:pPr>
        <w:pStyle w:val="Compact"/>
        <w:numPr>
          <w:ilvl w:val="0"/>
          <w:numId w:val="1034"/>
        </w:numPr>
      </w:pPr>
      <w:r>
        <w:t xml:space="preserve">the confirmatory metrics.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 benign cross-concept transfer matrix and frozen confirmatory analysis.</w:t>
      </w:r>
    </w:p>
    <w:bookmarkEnd w:id="39"/>
    <w:bookmarkStart w:id="40" w:name="Xd517e5a8fd0e86428f67397034a6ee4845413fe"/>
    <w:p>
      <w:pPr>
        <w:pStyle w:val="Heading3"/>
      </w:pPr>
      <w:r>
        <w:t xml:space="preserve">Day 13: open the safety test and attack confounds</w:t>
      </w:r>
    </w:p>
    <w:p>
      <w:pPr>
        <w:pStyle w:val="FirstParagraph"/>
      </w:pPr>
      <w:r>
        <w:t xml:space="preserve">We will run the frozen component set on:</w:t>
      </w:r>
    </w:p>
    <w:p>
      <w:pPr>
        <w:pStyle w:val="Compact"/>
        <w:numPr>
          <w:ilvl w:val="0"/>
          <w:numId w:val="1035"/>
        </w:numPr>
      </w:pPr>
      <w:r>
        <w:t xml:space="preserve">deception;</w:t>
      </w:r>
    </w:p>
    <w:p>
      <w:pPr>
        <w:pStyle w:val="Compact"/>
        <w:numPr>
          <w:ilvl w:val="0"/>
          <w:numId w:val="1035"/>
        </w:numPr>
      </w:pPr>
      <w:r>
        <w:t xml:space="preserve">harmfulness.</w:t>
      </w:r>
    </w:p>
    <w:p>
      <w:pPr>
        <w:pStyle w:val="FirstParagraph"/>
      </w:pPr>
      <w:r>
        <w:t xml:space="preserve">The central confirmatory question will be:</w:t>
      </w:r>
    </w:p>
    <w:p>
      <w:pPr>
        <w:pStyle w:val="BlockText"/>
      </w:pPr>
      <w:r>
        <w:t xml:space="preserve">Do components identified entirely using benign concepts causally affect evasion of unseen safety monitors?</w:t>
      </w:r>
    </w:p>
    <w:p>
      <w:pPr>
        <w:pStyle w:val="FirstParagraph"/>
      </w:pPr>
      <w:r>
        <w:t xml:space="preserve">We will run:</w:t>
      </w:r>
    </w:p>
    <w:p>
      <w:pPr>
        <w:pStyle w:val="Compact"/>
        <w:numPr>
          <w:ilvl w:val="0"/>
          <w:numId w:val="1036"/>
        </w:numPr>
      </w:pPr>
      <w:r>
        <w:t xml:space="preserve">rescue interventions;</w:t>
      </w:r>
    </w:p>
    <w:p>
      <w:pPr>
        <w:pStyle w:val="Compact"/>
        <w:numPr>
          <w:ilvl w:val="0"/>
          <w:numId w:val="1036"/>
        </w:numPr>
      </w:pPr>
      <w:r>
        <w:t xml:space="preserve">induction interventions;</w:t>
      </w:r>
    </w:p>
    <w:p>
      <w:pPr>
        <w:pStyle w:val="Compact"/>
        <w:numPr>
          <w:ilvl w:val="0"/>
          <w:numId w:val="1036"/>
        </w:numPr>
      </w:pPr>
      <w:r>
        <w:t xml:space="preserve">positive and negative examples;</w:t>
      </w:r>
    </w:p>
    <w:p>
      <w:pPr>
        <w:pStyle w:val="Compact"/>
        <w:numPr>
          <w:ilvl w:val="0"/>
          <w:numId w:val="1036"/>
        </w:numPr>
      </w:pPr>
      <w:r>
        <w:t xml:space="preserve">random matched controls;</w:t>
      </w:r>
    </w:p>
    <w:p>
      <w:pPr>
        <w:pStyle w:val="Compact"/>
        <w:numPr>
          <w:ilvl w:val="0"/>
          <w:numId w:val="1036"/>
        </w:numPr>
      </w:pPr>
      <w:r>
        <w:t xml:space="preserve">confidence intervals.</w:t>
      </w:r>
    </w:p>
    <w:p>
      <w:pPr>
        <w:pStyle w:val="FirstParagraph"/>
      </w:pPr>
      <w:r>
        <w:t xml:space="preserve">We will not change the component set after seeing these results.</w:t>
      </w:r>
    </w:p>
    <w:p>
      <w:pPr>
        <w:pStyle w:val="BodyText"/>
      </w:pPr>
      <w:r>
        <w:t xml:space="preserve">We will then test major prompt and intervention confounds, including:</w:t>
      </w:r>
    </w:p>
    <w:p>
      <w:pPr>
        <w:pStyle w:val="Compact"/>
        <w:numPr>
          <w:ilvl w:val="0"/>
          <w:numId w:val="1037"/>
        </w:numPr>
      </w:pPr>
      <w:r>
        <w:t xml:space="preserve">the concept named without monitoring language;</w:t>
      </w:r>
    </w:p>
    <w:p>
      <w:pPr>
        <w:pStyle w:val="Compact"/>
        <w:numPr>
          <w:ilvl w:val="0"/>
          <w:numId w:val="1037"/>
        </w:numPr>
      </w:pPr>
      <w:r>
        <w:t xml:space="preserve">monitoring language without a concept;</w:t>
      </w:r>
    </w:p>
    <w:p>
      <w:pPr>
        <w:pStyle w:val="Compact"/>
        <w:numPr>
          <w:ilvl w:val="0"/>
          <w:numId w:val="1037"/>
        </w:numPr>
      </w:pPr>
      <w:r>
        <w:t xml:space="preserve">irrelevant concepts;</w:t>
      </w:r>
    </w:p>
    <w:p>
      <w:pPr>
        <w:pStyle w:val="Compact"/>
        <w:numPr>
          <w:ilvl w:val="0"/>
          <w:numId w:val="1037"/>
        </w:numPr>
      </w:pPr>
      <w:r>
        <w:t xml:space="preserve">semantically nearby concepts;</w:t>
      </w:r>
    </w:p>
    <w:p>
      <w:pPr>
        <w:pStyle w:val="Compact"/>
        <w:numPr>
          <w:ilvl w:val="0"/>
          <w:numId w:val="1037"/>
        </w:numPr>
      </w:pPr>
      <w:r>
        <w:t xml:space="preserve">paraphrased triggers;</w:t>
      </w:r>
    </w:p>
    <w:p>
      <w:pPr>
        <w:pStyle w:val="Compact"/>
        <w:numPr>
          <w:ilvl w:val="0"/>
          <w:numId w:val="1037"/>
        </w:numPr>
      </w:pPr>
      <w:r>
        <w:t xml:space="preserve">malformed triggers;</w:t>
      </w:r>
    </w:p>
    <w:p>
      <w:pPr>
        <w:pStyle w:val="Compact"/>
        <w:numPr>
          <w:ilvl w:val="0"/>
          <w:numId w:val="1037"/>
        </w:numPr>
      </w:pPr>
      <w:r>
        <w:t xml:space="preserve">triggers placed elsewhere in the prompt;</w:t>
      </w:r>
    </w:p>
    <w:p>
      <w:pPr>
        <w:pStyle w:val="Compact"/>
        <w:numPr>
          <w:ilvl w:val="0"/>
          <w:numId w:val="1037"/>
        </w:numPr>
      </w:pPr>
      <w:r>
        <w:t xml:space="preserve">natural activation replacement versus zero ablation;</w:t>
      </w:r>
    </w:p>
    <w:p>
      <w:pPr>
        <w:pStyle w:val="Compact"/>
        <w:numPr>
          <w:ilvl w:val="0"/>
          <w:numId w:val="1037"/>
        </w:numPr>
      </w:pPr>
      <w:r>
        <w:t xml:space="preserve">alternative token pooling;</w:t>
      </w:r>
    </w:p>
    <w:p>
      <w:pPr>
        <w:pStyle w:val="Compact"/>
        <w:numPr>
          <w:ilvl w:val="0"/>
          <w:numId w:val="1037"/>
        </w:numPr>
      </w:pPr>
      <w:r>
        <w:t xml:space="preserve">activation-norm abnormalities;</w:t>
      </w:r>
    </w:p>
    <w:p>
      <w:pPr>
        <w:pStyle w:val="Compact"/>
        <w:numPr>
          <w:ilvl w:val="0"/>
          <w:numId w:val="1037"/>
        </w:numPr>
      </w:pPr>
      <w:r>
        <w:t xml:space="preserve">random same-layer components.</w:t>
      </w:r>
    </w:p>
    <w:p>
      <w:pPr>
        <w:pStyle w:val="FirstParagraph"/>
      </w:pPr>
      <w:r>
        <w:t xml:space="preserve">We will also measure:</w:t>
      </w:r>
    </w:p>
    <w:p>
      <w:pPr>
        <w:pStyle w:val="Compact"/>
        <w:numPr>
          <w:ilvl w:val="0"/>
          <w:numId w:val="1038"/>
        </w:numPr>
      </w:pPr>
      <w:r>
        <w:t xml:space="preserve">fixed-continuation likelihood;</w:t>
      </w:r>
    </w:p>
    <w:p>
      <w:pPr>
        <w:pStyle w:val="Compact"/>
        <w:numPr>
          <w:ilvl w:val="0"/>
          <w:numId w:val="1038"/>
        </w:numPr>
      </w:pPr>
      <w:r>
        <w:t xml:space="preserve">KL divergence;</w:t>
      </w:r>
    </w:p>
    <w:p>
      <w:pPr>
        <w:pStyle w:val="Compact"/>
        <w:numPr>
          <w:ilvl w:val="0"/>
          <w:numId w:val="1038"/>
        </w:numPr>
      </w:pPr>
      <w:r>
        <w:t xml:space="preserve">generation quality;</w:t>
      </w:r>
    </w:p>
    <w:p>
      <w:pPr>
        <w:pStyle w:val="Compact"/>
        <w:numPr>
          <w:ilvl w:val="0"/>
          <w:numId w:val="1038"/>
        </w:numPr>
      </w:pPr>
      <w:r>
        <w:t xml:space="preserve">task correctness;</w:t>
      </w:r>
    </w:p>
    <w:p>
      <w:pPr>
        <w:pStyle w:val="Compact"/>
        <w:numPr>
          <w:ilvl w:val="0"/>
          <w:numId w:val="1038"/>
        </w:numPr>
      </w:pPr>
      <w:r>
        <w:t xml:space="preserve">general model degradation;</w:t>
      </w:r>
    </w:p>
    <w:p>
      <w:pPr>
        <w:pStyle w:val="Compact"/>
        <w:numPr>
          <w:ilvl w:val="0"/>
          <w:numId w:val="1038"/>
        </w:numPr>
      </w:pPr>
      <w:r>
        <w:t xml:space="preserve">whether the model still meaningfully processes the hidden concept.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locked safety-transfer results and confound-control figures.</w:t>
      </w:r>
    </w:p>
    <w:bookmarkEnd w:id="40"/>
    <w:bookmarkStart w:id="41" w:name="Xb1344783a5aa347e356f8543d94d8ec27750697"/>
    <w:p>
      <w:pPr>
        <w:pStyle w:val="Heading3"/>
      </w:pPr>
      <w:r>
        <w:t xml:space="preserve">Day 14: falsify, consolidate, write, and release</w:t>
      </w:r>
    </w:p>
    <w:p>
      <w:pPr>
        <w:pStyle w:val="FirstParagraph"/>
      </w:pPr>
      <w:r>
        <w:t xml:space="preserve">We will attempt to disprove our preferred explanation by checking:</w:t>
      </w:r>
    </w:p>
    <w:p>
      <w:pPr>
        <w:pStyle w:val="Compact"/>
        <w:numPr>
          <w:ilvl w:val="0"/>
          <w:numId w:val="1039"/>
        </w:numPr>
      </w:pPr>
      <w:r>
        <w:t xml:space="preserve">alternative random seeds;</w:t>
      </w:r>
    </w:p>
    <w:p>
      <w:pPr>
        <w:pStyle w:val="Compact"/>
        <w:numPr>
          <w:ilvl w:val="0"/>
          <w:numId w:val="1039"/>
        </w:numPr>
      </w:pPr>
      <w:r>
        <w:t xml:space="preserve">outlier dependence;</w:t>
      </w:r>
    </w:p>
    <w:p>
      <w:pPr>
        <w:pStyle w:val="Compact"/>
        <w:numPr>
          <w:ilvl w:val="0"/>
          <w:numId w:val="1039"/>
        </w:numPr>
      </w:pPr>
      <w:r>
        <w:t xml:space="preserve">multiple probe thresholds;</w:t>
      </w:r>
    </w:p>
    <w:p>
      <w:pPr>
        <w:pStyle w:val="Compact"/>
        <w:numPr>
          <w:ilvl w:val="0"/>
          <w:numId w:val="1039"/>
        </w:numPr>
      </w:pPr>
      <w:r>
        <w:t xml:space="preserve">nearby layers and components;</w:t>
      </w:r>
    </w:p>
    <w:p>
      <w:pPr>
        <w:pStyle w:val="Compact"/>
        <w:numPr>
          <w:ilvl w:val="0"/>
          <w:numId w:val="1039"/>
        </w:numPr>
      </w:pPr>
      <w:r>
        <w:t xml:space="preserve">possible data leakage;</w:t>
      </w:r>
    </w:p>
    <w:p>
      <w:pPr>
        <w:pStyle w:val="Compact"/>
        <w:numPr>
          <w:ilvl w:val="0"/>
          <w:numId w:val="1039"/>
        </w:numPr>
      </w:pPr>
      <w:r>
        <w:t xml:space="preserve">layer-indexing mistakes;</w:t>
      </w:r>
    </w:p>
    <w:p>
      <w:pPr>
        <w:pStyle w:val="Compact"/>
        <w:numPr>
          <w:ilvl w:val="0"/>
          <w:numId w:val="1039"/>
        </w:numPr>
      </w:pPr>
      <w:r>
        <w:t xml:space="preserve">hook-placement mistakes;</w:t>
      </w:r>
    </w:p>
    <w:p>
      <w:pPr>
        <w:pStyle w:val="Compact"/>
        <w:numPr>
          <w:ilvl w:val="0"/>
          <w:numId w:val="1039"/>
        </w:numPr>
      </w:pPr>
      <w:r>
        <w:t xml:space="preserve">alternate pooling methods;</w:t>
      </w:r>
    </w:p>
    <w:p>
      <w:pPr>
        <w:pStyle w:val="Compact"/>
        <w:numPr>
          <w:ilvl w:val="0"/>
          <w:numId w:val="1039"/>
        </w:numPr>
      </w:pPr>
      <w:r>
        <w:t xml:space="preserve">multiple-comparison inflation;</w:t>
      </w:r>
    </w:p>
    <w:p>
      <w:pPr>
        <w:pStyle w:val="Compact"/>
        <w:numPr>
          <w:ilvl w:val="0"/>
          <w:numId w:val="1039"/>
        </w:numPr>
      </w:pPr>
      <w:r>
        <w:t xml:space="preserve">whether the central result reproduces from a clean process.</w:t>
      </w:r>
    </w:p>
    <w:p>
      <w:pPr>
        <w:pStyle w:val="FirstParagraph"/>
      </w:pPr>
      <w:r>
        <w:t xml:space="preserve">We will clearly distinguish:</w:t>
      </w:r>
    </w:p>
    <w:p>
      <w:pPr>
        <w:pStyle w:val="Compact"/>
        <w:numPr>
          <w:ilvl w:val="0"/>
          <w:numId w:val="1040"/>
        </w:numPr>
      </w:pPr>
      <w:r>
        <w:t xml:space="preserve">exploratory analyses;</w:t>
      </w:r>
    </w:p>
    <w:p>
      <w:pPr>
        <w:pStyle w:val="Compact"/>
        <w:numPr>
          <w:ilvl w:val="0"/>
          <w:numId w:val="1040"/>
        </w:numPr>
      </w:pPr>
      <w:r>
        <w:t xml:space="preserve">confirmatory analyses;</w:t>
      </w:r>
    </w:p>
    <w:p>
      <w:pPr>
        <w:pStyle w:val="Compact"/>
        <w:numPr>
          <w:ilvl w:val="0"/>
          <w:numId w:val="1040"/>
        </w:numPr>
      </w:pPr>
      <w:r>
        <w:t xml:space="preserve">successful interventions;</w:t>
      </w:r>
    </w:p>
    <w:p>
      <w:pPr>
        <w:pStyle w:val="Compact"/>
        <w:numPr>
          <w:ilvl w:val="0"/>
          <w:numId w:val="1040"/>
        </w:numPr>
      </w:pPr>
      <w:r>
        <w:t xml:space="preserve">null results;</w:t>
      </w:r>
    </w:p>
    <w:p>
      <w:pPr>
        <w:pStyle w:val="Compact"/>
        <w:numPr>
          <w:ilvl w:val="0"/>
          <w:numId w:val="1040"/>
        </w:numPr>
      </w:pPr>
      <w:r>
        <w:t xml:space="preserve">failed hypotheses.</w:t>
      </w:r>
    </w:p>
    <w:p>
      <w:pPr>
        <w:pStyle w:val="FirstParagraph"/>
      </w:pPr>
      <w:r>
        <w:t xml:space="preserve">We will generate the final report around the following figures:</w:t>
      </w:r>
    </w:p>
    <w:p>
      <w:pPr>
        <w:pStyle w:val="Compact"/>
        <w:numPr>
          <w:ilvl w:val="0"/>
          <w:numId w:val="1041"/>
        </w:numPr>
      </w:pPr>
      <w:r>
        <w:t xml:space="preserve">reproduction of Neural Chameleon evasion;</w:t>
      </w:r>
    </w:p>
    <w:p>
      <w:pPr>
        <w:pStyle w:val="Compact"/>
        <w:numPr>
          <w:ilvl w:val="0"/>
          <w:numId w:val="1041"/>
        </w:numPr>
      </w:pPr>
      <w:r>
        <w:t xml:space="preserve">layer-by-token causal localization;</w:t>
      </w:r>
    </w:p>
    <w:p>
      <w:pPr>
        <w:pStyle w:val="Compact"/>
        <w:numPr>
          <w:ilvl w:val="0"/>
          <w:numId w:val="1041"/>
        </w:numPr>
      </w:pPr>
      <w:r>
        <w:t xml:space="preserve">exact head and MLP rescue and induction;</w:t>
      </w:r>
    </w:p>
    <w:p>
      <w:pPr>
        <w:pStyle w:val="Compact"/>
        <w:numPr>
          <w:ilvl w:val="0"/>
          <w:numId w:val="1041"/>
        </w:numPr>
      </w:pPr>
      <w:r>
        <w:t xml:space="preserve">necessity and sufficiency curves;</w:t>
      </w:r>
    </w:p>
    <w:p>
      <w:pPr>
        <w:pStyle w:val="Compact"/>
        <w:numPr>
          <w:ilvl w:val="0"/>
          <w:numId w:val="1041"/>
        </w:numPr>
      </w:pPr>
      <w:r>
        <w:t xml:space="preserve">benign and safety cross-concept transfer;</w:t>
      </w:r>
    </w:p>
    <w:p>
      <w:pPr>
        <w:pStyle w:val="Compact"/>
        <w:numPr>
          <w:ilvl w:val="0"/>
          <w:numId w:val="1041"/>
        </w:numPr>
      </w:pPr>
      <w:r>
        <w:t xml:space="preserve">behavioral-preservation and confound controls.</w:t>
      </w:r>
    </w:p>
    <w:p>
      <w:pPr>
        <w:pStyle w:val="FirstParagraph"/>
      </w:pPr>
      <w:r>
        <w:t xml:space="preserve">We will release:</w:t>
      </w:r>
    </w:p>
    <w:p>
      <w:pPr>
        <w:pStyle w:val="Compact"/>
        <w:numPr>
          <w:ilvl w:val="0"/>
          <w:numId w:val="1042"/>
        </w:numPr>
      </w:pPr>
      <w:r>
        <w:t xml:space="preserve">pinned dependencies;</w:t>
      </w:r>
    </w:p>
    <w:p>
      <w:pPr>
        <w:pStyle w:val="Compact"/>
        <w:numPr>
          <w:ilvl w:val="0"/>
          <w:numId w:val="1042"/>
        </w:numPr>
      </w:pPr>
      <w:r>
        <w:t xml:space="preserve">exact model and probe identifiers;</w:t>
      </w:r>
    </w:p>
    <w:p>
      <w:pPr>
        <w:pStyle w:val="Compact"/>
        <w:numPr>
          <w:ilvl w:val="0"/>
          <w:numId w:val="1042"/>
        </w:numPr>
      </w:pPr>
      <w:r>
        <w:t xml:space="preserve">model revision and file hashes;</w:t>
      </w:r>
    </w:p>
    <w:p>
      <w:pPr>
        <w:pStyle w:val="Compact"/>
        <w:numPr>
          <w:ilvl w:val="0"/>
          <w:numId w:val="1042"/>
        </w:numPr>
      </w:pPr>
      <w:r>
        <w:t xml:space="preserve">locked data splits;</w:t>
      </w:r>
    </w:p>
    <w:p>
      <w:pPr>
        <w:pStyle w:val="Compact"/>
        <w:numPr>
          <w:ilvl w:val="0"/>
          <w:numId w:val="1042"/>
        </w:numPr>
      </w:pPr>
      <w:r>
        <w:t xml:space="preserve">intervention code;</w:t>
      </w:r>
    </w:p>
    <w:p>
      <w:pPr>
        <w:pStyle w:val="Compact"/>
        <w:numPr>
          <w:ilvl w:val="0"/>
          <w:numId w:val="1042"/>
        </w:numPr>
      </w:pPr>
      <w:r>
        <w:t xml:space="preserve">raw results;</w:t>
      </w:r>
    </w:p>
    <w:p>
      <w:pPr>
        <w:pStyle w:val="Compact"/>
        <w:numPr>
          <w:ilvl w:val="0"/>
          <w:numId w:val="1042"/>
        </w:numPr>
      </w:pPr>
      <w:r>
        <w:t xml:space="preserve">figure-generation scripts;</w:t>
      </w:r>
    </w:p>
    <w:p>
      <w:pPr>
        <w:pStyle w:val="Compact"/>
        <w:numPr>
          <w:ilvl w:val="0"/>
          <w:numId w:val="1042"/>
        </w:numPr>
      </w:pPr>
      <w:r>
        <w:t xml:space="preserve">a falsification log;</w:t>
      </w:r>
    </w:p>
    <w:p>
      <w:pPr>
        <w:pStyle w:val="Compact"/>
        <w:numPr>
          <w:ilvl w:val="0"/>
          <w:numId w:val="1042"/>
        </w:numPr>
      </w:pPr>
      <w:r>
        <w:t xml:space="preserve">a limitations section.</w:t>
      </w:r>
    </w:p>
    <w:p>
      <w:pPr>
        <w:pStyle w:val="FirstParagraph"/>
      </w:pPr>
      <w:r>
        <w:t xml:space="preserve">We will send the draft to the original authors as a courtesy and ask whether there are factual, provenance, or overlap issues, but publication will not depend on receiving a response.</w:t>
      </w:r>
    </w:p>
    <w:bookmarkEnd w:id="41"/>
    <w:bookmarkEnd w:id="42"/>
    <w:bookmarkStart w:id="58" w:name="failure-modes-to-protect-against"/>
    <w:p>
      <w:pPr>
        <w:pStyle w:val="Heading2"/>
      </w:pPr>
      <w:r>
        <w:t xml:space="preserve">5. Failure modes to protect against</w:t>
      </w:r>
    </w:p>
    <w:bookmarkStart w:id="43" w:name="Xb7bfadd3bcd0afbf4ff09a6fbfbadc3ae7cdeaa"/>
    <w:p>
      <w:pPr>
        <w:pStyle w:val="Heading3"/>
      </w:pPr>
      <w:r>
        <w:t xml:space="preserve">Explaining differences in generated outputs</w:t>
      </w:r>
    </w:p>
    <w:p>
      <w:pPr>
        <w:pStyle w:val="FirstParagraph"/>
      </w:pPr>
      <w:r>
        <w:t xml:space="preserve">Triggered and untriggered models may produce different text. Their activations could therefore differ simply because they are processing different responses.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teacher-force the exact same continuation tokens in both conditions.</w:t>
      </w:r>
    </w:p>
    <w:bookmarkEnd w:id="43"/>
    <w:bookmarkStart w:id="44" w:name="confusing-correlation-with-mechanism"/>
    <w:p>
      <w:pPr>
        <w:pStyle w:val="Heading3"/>
      </w:pPr>
      <w:r>
        <w:t xml:space="preserve">Confusing correlation with mechanism</w:t>
      </w:r>
    </w:p>
    <w:p>
      <w:pPr>
        <w:pStyle w:val="FirstParagraph"/>
      </w:pPr>
      <w:r>
        <w:t xml:space="preserve">A component may change strongly during evasion without being causally responsible for it.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require exact activation patching. Attribution scores, activation differences, and visualizations are only candidate-selection tools.</w:t>
      </w:r>
    </w:p>
    <w:bookmarkEnd w:id="44"/>
    <w:bookmarkStart w:id="45" w:name="finding-only-necessary-components"/>
    <w:p>
      <w:pPr>
        <w:pStyle w:val="Heading3"/>
      </w:pPr>
      <w:r>
        <w:t xml:space="preserve">Finding only necessary components</w:t>
      </w:r>
    </w:p>
    <w:p>
      <w:pPr>
        <w:pStyle w:val="FirstParagraph"/>
      </w:pPr>
      <w:r>
        <w:t xml:space="preserve">Replacing a component may restore monitor performance, but this does not show that the component normally creates evasion.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test both rescue and reverse-direction induction.</w:t>
      </w:r>
    </w:p>
    <w:bookmarkEnd w:id="45"/>
    <w:bookmarkStart w:id="46" w:name="X0db90e0c2274beb2cbe574f19a6100f69c9a236"/>
    <w:p>
      <w:pPr>
        <w:pStyle w:val="Heading3"/>
      </w:pPr>
      <w:r>
        <w:t xml:space="preserve">Finding only sufficient but unnatural interventions</w:t>
      </w:r>
    </w:p>
    <w:p>
      <w:pPr>
        <w:pStyle w:val="FirstParagraph"/>
      </w:pPr>
      <w:r>
        <w:t xml:space="preserve">Artificially injecting activations may cause probe suppression without reflecting the model’s real computation.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transplant naturally occurring activations from matched triggered runs and check activation norms.</w:t>
      </w:r>
    </w:p>
    <w:bookmarkEnd w:id="46"/>
    <w:bookmarkStart w:id="47" w:name="X25985a1e71da4804bbc4495a701fb9d0148af29"/>
    <w:p>
      <w:pPr>
        <w:pStyle w:val="Heading3"/>
      </w:pPr>
      <w:r>
        <w:t xml:space="preserve">Damaging the model rather than removing concealment</w:t>
      </w:r>
    </w:p>
    <w:p>
      <w:pPr>
        <w:pStyle w:val="FirstParagraph"/>
      </w:pPr>
      <w:r>
        <w:t xml:space="preserve">An intervention may restore monitor performance because it broadly disrupts the model.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measure likelihood, KL divergence, generation quality, task correctness, and concept-processing ability.</w:t>
      </w:r>
    </w:p>
    <w:bookmarkEnd w:id="47"/>
    <w:bookmarkStart w:id="48" w:name="overfitting-to-deception-or-harmfulness"/>
    <w:p>
      <w:pPr>
        <w:pStyle w:val="Heading3"/>
      </w:pPr>
      <w:r>
        <w:t xml:space="preserve">Overfitting to deception or harmfulness</w:t>
      </w:r>
    </w:p>
    <w:p>
      <w:pPr>
        <w:pStyle w:val="FirstParagraph"/>
      </w:pPr>
      <w:r>
        <w:t xml:space="preserve">Selecting components based directly on safety examples would make cross-concept generalization claims weak.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discover and freeze the mechanism using benign concepts before opening the safety test.</w:t>
      </w:r>
    </w:p>
    <w:bookmarkEnd w:id="48"/>
    <w:bookmarkStart w:id="49" w:name="overfitting-to-one-probe"/>
    <w:p>
      <w:pPr>
        <w:pStyle w:val="Heading3"/>
      </w:pPr>
      <w:r>
        <w:t xml:space="preserve">Overfitting to one probe</w:t>
      </w:r>
    </w:p>
    <w:p>
      <w:pPr>
        <w:pStyle w:val="FirstParagraph"/>
      </w:pPr>
      <w:r>
        <w:t xml:space="preserve">A component may exploit an idiosyncrasy of one particular classifier rather than affect the underlying representation.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where feasible, test multiple monitors, thresholds, positive and negative examples, and general score distributions.</w:t>
      </w:r>
    </w:p>
    <w:bookmarkEnd w:id="49"/>
    <w:bookmarkStart w:id="50" w:name="fixed-string-backdoor-effects"/>
    <w:p>
      <w:pPr>
        <w:pStyle w:val="Heading3"/>
      </w:pPr>
      <w:r>
        <w:t xml:space="preserve">Fixed-string backdoor effects</w:t>
      </w:r>
    </w:p>
    <w:p>
      <w:pPr>
        <w:pStyle w:val="FirstParagraph"/>
      </w:pPr>
      <w:r>
        <w:t xml:space="preserve">The mechanism may respond only to the exact phrase used during training rather than semantically understanding monitoring.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test paraphrases, rearranged triggers, irrelevant concepts, missing concepts, and concept mentions without monitoring language.</w:t>
      </w:r>
    </w:p>
    <w:bookmarkEnd w:id="50"/>
    <w:bookmarkStart w:id="51" w:name="Xdc862bd7e7c6744618ea2f2633e91ee46ed2efc"/>
    <w:p>
      <w:pPr>
        <w:pStyle w:val="Heading3"/>
      </w:pPr>
      <w:r>
        <w:t xml:space="preserve">Mistaking a shared layer for a shared circuit</w:t>
      </w:r>
    </w:p>
    <w:p>
      <w:pPr>
        <w:pStyle w:val="FirstParagraph"/>
      </w:pPr>
      <w:r>
        <w:t xml:space="preserve">Several concepts may be affected at the same layer while relying on different heads or MLPs.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require direct component-level transfer across concepts, not merely similar layer-level effects.</w:t>
      </w:r>
    </w:p>
    <w:bookmarkEnd w:id="51"/>
    <w:bookmarkStart w:id="52" w:name="Xb27ea2c58d2a9c3b9396770afb4c5bb80fb5e02"/>
    <w:p>
      <w:pPr>
        <w:pStyle w:val="Heading3"/>
      </w:pPr>
      <w:r>
        <w:t xml:space="preserve">Claiming a sparse circuit when the mechanism is distributed</w:t>
      </w:r>
    </w:p>
    <w:p>
      <w:pPr>
        <w:pStyle w:val="FirstParagraph"/>
      </w:pPr>
      <w:r>
        <w:t xml:space="preserve">Searching only for a few important heads may impose a misleading sparse explanation.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measure completeness as component-set size increases and report distributed effects honestly.</w:t>
      </w:r>
    </w:p>
    <w:bookmarkEnd w:id="52"/>
    <w:bookmarkStart w:id="53" w:name="cherry-picking-examples-or-components"/>
    <w:p>
      <w:pPr>
        <w:pStyle w:val="Heading3"/>
      </w:pPr>
      <w:r>
        <w:t xml:space="preserve">Cherry-picking examples or components</w:t>
      </w:r>
    </w:p>
    <w:p>
      <w:pPr>
        <w:pStyle w:val="FirstParagraph"/>
      </w:pPr>
      <w:r>
        <w:t xml:space="preserve">Repeatedly selecting prompts, heads, or metrics based on desirable results can produce a fragile story.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commit data splits, primary metrics, selection rules, and the confirmatory safety experiment in advance.</w:t>
      </w:r>
    </w:p>
    <w:bookmarkEnd w:id="53"/>
    <w:bookmarkStart w:id="54" w:name="layer-indexing-and-hook-errors"/>
    <w:p>
      <w:pPr>
        <w:pStyle w:val="Heading3"/>
      </w:pPr>
      <w:r>
        <w:t xml:space="preserve">Layer-indexing and hook errors</w:t>
      </w:r>
    </w:p>
    <w:p>
      <w:pPr>
        <w:pStyle w:val="FirstParagraph"/>
      </w:pPr>
      <w:r>
        <w:t xml:space="preserve">Transformer libraries often expose several subtly different activation locations.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document the exact tensor being patched, test identity interventions, and verify full-layer replacement behavior.</w:t>
      </w:r>
    </w:p>
    <w:bookmarkEnd w:id="54"/>
    <w:bookmarkStart w:id="55" w:name="Xc10e6b6e22602ec18a809d57fc977ddf4f45ba3"/>
    <w:p>
      <w:pPr>
        <w:pStyle w:val="Heading3"/>
      </w:pPr>
      <w:r>
        <w:t xml:space="preserve">Probe-score changes without improved classification</w:t>
      </w:r>
    </w:p>
    <w:p>
      <w:pPr>
        <w:pStyle w:val="FirstParagraph"/>
      </w:pPr>
      <w:r>
        <w:t xml:space="preserve">A lower or higher average score may not materially affect the monitor at a realistic decision threshold.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report AUROC, score distributions, true-positive rates at fixed false-positive rates, and thresholded classifications.</w:t>
      </w:r>
    </w:p>
    <w:bookmarkEnd w:id="55"/>
    <w:bookmarkStart w:id="56" w:name="incomplete-causal-explanations"/>
    <w:p>
      <w:pPr>
        <w:pStyle w:val="Heading3"/>
      </w:pPr>
      <w:r>
        <w:t xml:space="preserve">Incomplete causal explanations</w:t>
      </w:r>
    </w:p>
    <w:p>
      <w:pPr>
        <w:pStyle w:val="FirstParagraph"/>
      </w:pPr>
      <w:r>
        <w:t xml:space="preserve">Finding one influential component does not imply that it explains the overall phenomenon.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report the fraction of total evasion rescued or induced, along with completeness curves and unexplained residual effects.</w:t>
      </w:r>
    </w:p>
    <w:bookmarkEnd w:id="56"/>
    <w:bookmarkStart w:id="57" w:name="overgeneralizing-from-one-model"/>
    <w:p>
      <w:pPr>
        <w:pStyle w:val="Heading3"/>
      </w:pPr>
      <w:r>
        <w:t xml:space="preserve">Overgeneralizing from one model</w:t>
      </w:r>
    </w:p>
    <w:p>
      <w:pPr>
        <w:pStyle w:val="FirstParagraph"/>
      </w:pPr>
      <w:r>
        <w:t xml:space="preserve">The project studies one released Gemma-2-9B Neural Chameleon checkpoint.</w:t>
      </w:r>
    </w:p>
    <w:p>
      <w:pPr>
        <w:pStyle w:val="BodyText"/>
      </w:pPr>
      <w:r>
        <w:rPr>
          <w:b/>
          <w:bCs/>
        </w:rPr>
        <w:t xml:space="preserve">Protection:</w:t>
      </w:r>
      <w:r>
        <w:t xml:space="preserve"> </w:t>
      </w:r>
      <w:r>
        <w:t xml:space="preserve">describe the work as a mechanistic case study rather than a universal account of monitor evasion.</w:t>
      </w:r>
    </w:p>
    <w:bookmarkEnd w:id="57"/>
    <w:bookmarkEnd w:id="58"/>
    <w:bookmarkStart w:id="59" w:name="possible-outcomes"/>
    <w:p>
      <w:pPr>
        <w:pStyle w:val="Heading2"/>
      </w:pPr>
      <w:r>
        <w:t xml:space="preserve">6. Possible outcomes</w:t>
      </w:r>
    </w:p>
    <w:p>
      <w:pPr>
        <w:pStyle w:val="FirstParagraph"/>
      </w:pPr>
      <w:r>
        <w:t xml:space="preserve">The strongest possible finding would be:</w:t>
      </w:r>
    </w:p>
    <w:p>
      <w:pPr>
        <w:pStyle w:val="BlockText"/>
      </w:pPr>
      <w:r>
        <w:t xml:space="preserve">A compact, shared component set is necessary and partly sufficient for concept-general monitor evasion, including transfer from benign concepts to deception and harmfulness.</w:t>
      </w:r>
    </w:p>
    <w:p>
      <w:pPr>
        <w:pStyle w:val="FirstParagraph"/>
      </w:pPr>
      <w:r>
        <w:t xml:space="preserve">Other valuable outcomes include:</w:t>
      </w:r>
    </w:p>
    <w:p>
      <w:pPr>
        <w:pStyle w:val="Compact"/>
        <w:numPr>
          <w:ilvl w:val="0"/>
          <w:numId w:val="1043"/>
        </w:numPr>
      </w:pPr>
      <w:r>
        <w:t xml:space="preserve">concept-specific routing into a shared downstream actuator;</w:t>
      </w:r>
    </w:p>
    <w:p>
      <w:pPr>
        <w:pStyle w:val="Compact"/>
        <w:numPr>
          <w:ilvl w:val="0"/>
          <w:numId w:val="1043"/>
        </w:numPr>
      </w:pPr>
      <w:r>
        <w:t xml:space="preserve">overlapping but non-identical circuits across concepts;</w:t>
      </w:r>
    </w:p>
    <w:p>
      <w:pPr>
        <w:pStyle w:val="Compact"/>
        <w:numPr>
          <w:ilvl w:val="0"/>
          <w:numId w:val="1043"/>
        </w:numPr>
      </w:pPr>
      <w:r>
        <w:t xml:space="preserve">localization to particular blocks but not individual components;</w:t>
      </w:r>
    </w:p>
    <w:p>
      <w:pPr>
        <w:pStyle w:val="Compact"/>
        <w:numPr>
          <w:ilvl w:val="0"/>
          <w:numId w:val="1043"/>
        </w:numPr>
      </w:pPr>
      <w:r>
        <w:t xml:space="preserve">a broadly distributed mechanism;</w:t>
      </w:r>
    </w:p>
    <w:p>
      <w:pPr>
        <w:pStyle w:val="Compact"/>
        <w:numPr>
          <w:ilvl w:val="0"/>
          <w:numId w:val="1043"/>
        </w:numPr>
      </w:pPr>
      <w:r>
        <w:t xml:space="preserve">strong necessity without sufficiency;</w:t>
      </w:r>
    </w:p>
    <w:p>
      <w:pPr>
        <w:pStyle w:val="Compact"/>
        <w:numPr>
          <w:ilvl w:val="0"/>
          <w:numId w:val="1043"/>
        </w:numPr>
      </w:pPr>
      <w:r>
        <w:t xml:space="preserve">no meaningful transfer from benign to safety concepts.</w:t>
      </w:r>
    </w:p>
    <w:p>
      <w:pPr>
        <w:pStyle w:val="FirstParagraph"/>
      </w:pPr>
      <w:r>
        <w:t xml:space="preserve">The purpose of the project is not to force a particular circuit story. It is to determine which mechanistic explanation is best supported by causal evidence.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