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2400" w:after="720"/>
      </w:pPr>
      <w:r>
        <w:rPr>
          <w:b/>
          <w:sz w:val="56"/>
          <w:szCs w:val="56"/>
          <w:color w:val="163A5F"/>
          <w:rFonts w:ascii="Microsoft YaHei" w:hAnsi="Microsoft YaHei" w:eastAsia="Microsoft YaHei"/>
        </w:rPr>
        <w:t xml:space="preserve">组合风险系统详细操作说明书</w:t>
      </w:r>
    </w:p>
    <w:p>
      <w:pPr>
        <w:pStyle w:val="CoverText"/>
        <w:jc w:val="center"/>
        <w:spacing w:after="120" w:line="330" w:lineRule="auto"/>
      </w:pPr>
      <w:r>
        <w:rPr>
          <w:sz w:val="22"/>
          <w:szCs w:val="22"/>
          <w:rFonts w:ascii="Microsoft YaHei" w:hAnsi="Microsoft YaHei" w:eastAsia="Microsoft YaHei"/>
        </w:rPr>
        <w:t xml:space="preserve">文档版本：V1.0 文档状态：正式操作稿 编制日期：2026-07-23 适用系统：组合风险系统 访问地址：http://localhost:5173 保密级别：内部使用</w:t>
      </w:r>
    </w:p>
    <w:p>
      <w:r>
        <w:br w:type="page"/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目录</w:t>
      </w:r>
    </w:p>
    <w:p>
      <w:fldSimple w:instr="TOC \o &quot;1-3&quot; \h \z \u">
        <w:r>
          <w:t>打开文档后更新目录字段</w:t>
        </w:r>
      </w:fldSimple>
    </w:p>
    <w:p>
      <w:r>
        <w:br w:type="page"/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文档控制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修订记录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2500"/>
        <w:gridCol w:w="2500"/>
        <w:gridCol w:w="2500"/>
        <w:gridCol w:w="2500"/>
      </w:tblGrid>
      <w:tr>
        <w:trPr>
          <w:cantSplit/>
        </w:trPr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版本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日期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修订内容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状态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V1.0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2026-07-23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基于当前本地运行版本编制完整图文操作说明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正式操作稿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使用说明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本手册面向组合风险经理、信贷风险经理、模型管理员、数据治理人员、预警处置人员、审计人员和系统管理员。截图使用本地模拟数据，页面指标会随数据日期、计算批次、预警状态和用户权限变化。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不同角色看到的菜单和按钮可能不同。未显示某个菜单或按钮时，应先确认当前用户是否拥有对应权限，不应通过修改浏览器地址绕过权限控制。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1. 系统登录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1.1 登录入口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使用浏览器访问 http://localhost:5173，系统进入登录页。</w:t>
      </w:r>
    </w:p>
    <w:p>
      <w:pPr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5500000" cy="3819444"/>
            <wp:effectExtent l="0" t="0" r="0" b="0"/>
            <wp:docPr id="1" name="Screenshot 1" descr="图 1 组合风险系统登录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819444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overText"/>
        <w:jc w:val="center"/>
        <w:spacing w:after="180"/>
      </w:pPr>
      <w:r>
        <w:rPr>
          <w:sz w:val="18"/>
          <w:szCs w:val="18"/>
          <w:color w:val="52606D"/>
          <w:rFonts w:ascii="Microsoft YaHei" w:hAnsi="Microsoft YaHei" w:eastAsia="Microsoft YaHei"/>
        </w:rPr>
        <w:t xml:space="preserve">图 1 组合风险系统登录页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1.2 登录步骤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在“用户名”输入框输入账号。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在“密码”输入框输入密码。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在“验证码”输入框输入右侧图片中的验证码。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单击“登录”。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登录成功后进入“风险总览”。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本地演示环境默认账号为 admin，默认密码为 Admin@123456。生产环境必须使用正式分配账号，并按安全制度修改密码。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1.3 登录异常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提示或现象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原因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处理方法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用户名或密码错误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账号或密码不正确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重新输入，必要时联系管理员重置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验证码错误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验证码已变化或输入错误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刷新验证码后重新输入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session expired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登录会话已过期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返回登录页重新登录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invalid token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令牌无效或系统密钥已更新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清除浏览器会话并重新登录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页面一直加载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网关或后端服务不可用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联系运维检查服务状态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2. 主界面与导航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登录后页面由左侧菜单、顶部工具栏和主工作区组成。</w:t>
      </w:r>
    </w:p>
    <w:p>
      <w:pPr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5500000" cy="3819444"/>
            <wp:effectExtent l="0" t="0" r="0" b="0"/>
            <wp:docPr id="2" name="Screenshot 2" descr="图 2 组合风险驾驶舱及主导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819444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overText"/>
        <w:jc w:val="center"/>
        <w:spacing w:after="180"/>
      </w:pPr>
      <w:r>
        <w:rPr>
          <w:sz w:val="18"/>
          <w:szCs w:val="18"/>
          <w:color w:val="52606D"/>
          <w:rFonts w:ascii="Microsoft YaHei" w:hAnsi="Microsoft YaHei" w:eastAsia="Microsoft YaHei"/>
        </w:rPr>
        <w:t xml:space="preserve">图 2 组合风险驾驶舱及主导航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2.1 左侧菜单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菜单分组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主要用途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信贷风险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信贷查询、风险台账、LGD、组合限额和违约趋势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预警与处置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预警案件、风险台账、评估、控制、整改、事件和指标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智能与治理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AI、关系图谱、数据治理、评分、模型、订阅和报表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系统管理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用户、角色、部门、岗位、租户、日志、通知和参数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2.2 顶部工具栏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全局搜索：输入客户编号、合同编号或债项编号后进入信贷查询中心。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放大镜按钮：打开查询中心。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铃铛按钮：进入风险通知。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刷新按钮：刷新当前用户资料和权限。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用户区域：显示当前登录用户。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退出按钮：安全退出系统。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2.3 状态颜色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颜色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一般含义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红色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极高风险、超限、逾期或需要立即处置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橙色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关注、预警、部分有效或接近阈值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绿色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正常、通过、有效或已完成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蓝色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信息、处理中或当前选择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灰色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停用、观察中、无数据或只读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3. 风险总览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入口：左侧“风险总览”。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风险总览用于每天进入系统后的第一轮组合检查。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3.1 核心指标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页面顶部显示：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监测客户：纳入组合评分的有效客户数。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极高风险：优先级为 P1 的客户数。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高风险：需要重点跟踪的 P2 客户数。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预警敞口：预警客户对应的风险敞口。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待办处置：未完成的风险整改任务。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30 天风险上迁：预测风险等级可能上升的客户。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行业集中度：当前风险客户最多或敞口集中的行业。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3.2 今日重点预警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表格按照优先级和风险评分排列。可查看客户编号、名称、风险等级和 30 天预测。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操作建议：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优先查看 P1 和红色风险客户。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单击“客户 360”进入客户综合视图。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单击“处置”生成或进入预警整改流程。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对预测风险上迁但尚未违约的客户提前采取措施。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3.3 行业与日期图表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行业风险分布用于识别风险客户集中行业；近 14 个风险日期用于观察逾期和违约变化。柱状图反映每日数量，不应与存量风险客户数直接相加。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3.4 刷新数据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单击右上角刷新按钮重新加载看板。刷新不会自动重新计算全部模型；需要生成计算批次时，应前往对应专业页面执行。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4. 信贷综合查询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入口：信贷风险 → 信贷综合查询。</w:t>
      </w:r>
    </w:p>
    <w:p>
      <w:pPr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5500000" cy="3819444"/>
            <wp:effectExtent l="0" t="0" r="0" b="0"/>
            <wp:docPr id="3" name="Screenshot 3" descr="图 3 信贷域综合查询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819444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overText"/>
        <w:jc w:val="center"/>
        <w:spacing w:after="180"/>
      </w:pPr>
      <w:r>
        <w:rPr>
          <w:sz w:val="18"/>
          <w:szCs w:val="18"/>
          <w:color w:val="52606D"/>
          <w:rFonts w:ascii="Microsoft YaHei" w:hAnsi="Microsoft YaHei" w:eastAsia="Microsoft YaHei"/>
        </w:rPr>
        <w:t xml:space="preserve">图 3 信贷域综合查询页面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4.1 查询视角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视角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查询对象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客户视角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客户、评级、额度和整体风险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额度视角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额度总额、已用、可用、期限和状态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申请合同视角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业务申请与合同的对应关系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债项敞口视角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支用、债项、EAD、PD、LGD 和 EL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逾期违约视角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逾期、债项违约和客户违约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4.2 查询步骤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选择查询视角。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在“综合关键字”输入客户名称、客户编号、合同编号或债项编号。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根据需要填写客户编号、日期范围、评级、风险等级、产品、状态、违约等级和所属机构。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单击“查询”。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查看查询摘要中的总记录、当前页和筛选项数量。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6. 在结果表中查看明细。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查询条件可以组合。条件越多，结果范围越小。未填写日期时，系统按当前查询视角返回全部可访问数据。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4.3 客户下钻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单击客户记录可进入客户分析入口。客户 360 应重点核对：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客户基本信息和归属机构。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当前有效评级和额度。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申请、合同和债项关系。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押品覆盖情况。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EAD、PD、LGD、EL。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逾期和违约证据。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预警案件与整改状态。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4.4 AI 智能分析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单击“AI智能分析”，输入客户编号或名称，选择是否查询外部数据，然后单击“开始分析”。该入口与“风险智能问答”使用同一客户风险数据，但结果展示更偏向当前查询上下文。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4.5 数据时间轴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业务时间轴应按照业务申请、合同、债项支用、风险敞口、逾期和违约顺序显示。同日事件按业务顺序排列。若发现支用早于合同、逾期早于支用，应提交数据质量问题。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5. 风险台账明细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入口：信贷风险 → 风险台账明细。</w:t>
      </w:r>
    </w:p>
    <w:p>
      <w:pPr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5500000" cy="3819444"/>
            <wp:effectExtent l="0" t="0" r="0" b="0"/>
            <wp:docPr id="4" name="Screenshot 4" descr="图 4 风险台账明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819444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overText"/>
        <w:jc w:val="center"/>
        <w:spacing w:after="180"/>
      </w:pPr>
      <w:r>
        <w:rPr>
          <w:sz w:val="18"/>
          <w:szCs w:val="18"/>
          <w:color w:val="52606D"/>
          <w:rFonts w:ascii="Microsoft YaHei" w:hAnsi="Microsoft YaHei" w:eastAsia="Microsoft YaHei"/>
        </w:rPr>
        <w:t xml:space="preserve">图 4 风险台账明细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5.1 台账用途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风险台账按客户汇总信贷域 12 张核心表的数据，用于快速判断一个客户的业务规模、风险暴露和违约状态。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5.2 主要字段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字段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说明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客户编号、客户名称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客户唯一识别信息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评级编号、评级等级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当前有效评级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额度编号、额度总额、可用额度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当前有效额度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申请数、合同数、支用数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客户业务数量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未结本金、敞口余额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当前风险规模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押品数、担保金额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风险缓释情况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逾期数、最大逾期天数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逾期严重程度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债项违约数、最高违约等级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债项违约情况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客户违约状态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客户层汇总违约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台账风险等级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综合风险判断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5.3 使用方法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使用客户编号或名称筛选。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按风险等级、逾期天数或敞口金额排序。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对高风险客户核对评级、额度、债项、押品和违约信息。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通过关联预警案件进入处置。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导出前确认当前筛选条件和数据日期。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6. 违约趋势分析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入口：信贷风险 → 违约趋势分析。</w:t>
      </w:r>
    </w:p>
    <w:p>
      <w:pPr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5500000" cy="3819444"/>
            <wp:effectExtent l="0" t="0" r="0" b="0"/>
            <wp:docPr id="5" name="Screenshot 5" descr="图 5 违约趋势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819444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overText"/>
        <w:jc w:val="center"/>
        <w:spacing w:after="180"/>
      </w:pPr>
      <w:r>
        <w:rPr>
          <w:sz w:val="18"/>
          <w:szCs w:val="18"/>
          <w:color w:val="52606D"/>
          <w:rFonts w:ascii="Microsoft YaHei" w:hAnsi="Microsoft YaHei" w:eastAsia="Microsoft YaHei"/>
        </w:rPr>
        <w:t xml:space="preserve">图 5 违约趋势分析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6.1 页面用途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违约趋势用于按时间观察新增逾期、债项违约和客户违约，支持识别风险集中出现的日期、行业、产品和机构。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6.2 操作步骤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选择开始日期和结束日期。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选择需要的行业、产品、机构或客户条件。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单击查询或刷新。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查看柱状图中的每日新增数量。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查看折线趋势中的变化方向。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6. 下钻查看当日风险明细。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6.3 口径说明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每日新增表示当日新发生记录，不等于当前存量。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逾期日期需要结合宽限期和法定节假日判断。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债项违约与客户违约数量不同，一个客户可能有多笔违约债项。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7. LGD 风险管理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入口：信贷风险 → LGD 风险管理。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7.1 LGD 总览</w:t>
      </w:r>
    </w:p>
    <w:p>
      <w:pPr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5500000" cy="3819444"/>
            <wp:effectExtent l="0" t="0" r="0" b="0"/>
            <wp:docPr id="6" name="Screenshot 6" descr="图 6 LGD 风险管理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819444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overText"/>
        <w:jc w:val="center"/>
        <w:spacing w:after="180"/>
      </w:pPr>
      <w:r>
        <w:rPr>
          <w:sz w:val="18"/>
          <w:szCs w:val="18"/>
          <w:color w:val="52606D"/>
          <w:rFonts w:ascii="Microsoft YaHei" w:hAnsi="Microsoft YaHei" w:eastAsia="Microsoft YaHei"/>
        </w:rPr>
        <w:t xml:space="preserve">图 6 LGD 风险管理总览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顶部指标包括风险敞口 EAD、平均 LGD、衰退 LGD、衰退预期损失、加权产品回收率和高 LGD 敞口。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重点判断：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衰退 LGD 是否明显高于平均 LGD。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高 LGD 敞口是否集中在少数客户或行业。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产品回收率下降是否推高预期损失。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押品覆盖率是否足以解释较低 LGD。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产品 LGD 结构图显示平均值、衰退值和回收率。行业表按 EAD 和衰退损失展示损失敏感性。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7.2 债项 LGD 台账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单击“债项 LGD 台账”页签。</w:t>
      </w:r>
    </w:p>
    <w:p>
      <w:pPr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5500000" cy="3498590"/>
            <wp:effectExtent l="0" t="0" r="0" b="0"/>
            <wp:docPr id="7" name="Screenshot 7" descr="图 7 债项 LGD 台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498590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overText"/>
        <w:jc w:val="center"/>
        <w:spacing w:after="180"/>
      </w:pPr>
      <w:r>
        <w:rPr>
          <w:sz w:val="18"/>
          <w:szCs w:val="18"/>
          <w:color w:val="52606D"/>
          <w:rFonts w:ascii="Microsoft YaHei" w:hAnsi="Microsoft YaHei" w:eastAsia="Microsoft YaHei"/>
        </w:rPr>
        <w:t xml:space="preserve">图 7 债项 LGD 台账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操作步骤：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输入客户、合同或债项编号。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选择产品类型。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选择已违约或未违约。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设置最低衰退 LGD。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单击“查询”。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6. 查看 EAD、平均 LGD、衰退 LGD、回收率、覆盖率和衰退 EL。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7. 单击“明细”核对押品、逾期和违约证据。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7.3 参数与计算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“参数与计算”页签用于模型管理人员查看：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当前发布的 LGD 模型版本。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不同产品或风险分段的 LGD 参数。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回收率和押品折减参数。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历史计算批次。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单击“生成计算快照”会对当前有效敞口固化计算结果。执行前应确认数据日期、模型版本和参数均正确。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7.4 压力测试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“压力测试”页签支持抵押品价值折减、回收周期延长和行业回收率下调等情景。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操作步骤：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选择压力情景。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单击“运行测试”。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比较基准与压力下的衰退 LGD。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比较衰退 EL 增量和高 LGD 债项变化。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查看影响最大的债项样本。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压力测试不会覆盖正式 LGD 参数和风险敞口。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8. 组合限额与校准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入口：信贷风险 → 组合限额与校准。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8.1 集中度与限额</w:t>
      </w:r>
    </w:p>
    <w:p>
      <w:pPr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5500000" cy="3819444"/>
            <wp:effectExtent l="0" t="0" r="0" b="0"/>
            <wp:docPr id="8" name="Screenshot 8" descr="图 8 组合集中度与限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819444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overText"/>
        <w:jc w:val="center"/>
        <w:spacing w:after="180"/>
      </w:pPr>
      <w:r>
        <w:rPr>
          <w:sz w:val="18"/>
          <w:szCs w:val="18"/>
          <w:color w:val="52606D"/>
          <w:rFonts w:ascii="Microsoft YaHei" w:hAnsi="Microsoft YaHei" w:eastAsia="Microsoft YaHei"/>
        </w:rPr>
        <w:t xml:space="preserve">图 8 组合集中度与限额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页面顶部显示组合 EAD、衰退预期损失、行业 HHI、限额预警和限额超限数量。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集中度操作：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在集中度分布右上角选择行业、产品或机构。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查看各分组 EAD 排名。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查看客户集中度 Top 10。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对单一客户或行业暴露过高的情况进行下钻。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限额状态：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状态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判断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正常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使用率低于预警比例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预警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使用率达到预警比例但未超过 100%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超限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使用率超过 100%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停用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限额定义已停用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8.2 调整限额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在“组合风险限额”表找到目标行业、产品或机构。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单击“调整”。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修改限额、预警比例、责任人或启用状态。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单击“保存”。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检查新使用率和监测状态。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限额调整属于重要风险操作，应按授权执行。预警比例必须大于 0 且不超过 100%。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8.3 生成限额快照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单击右上角“生成限额快照”，系统保存当前数据日期下各限额的实际值、利用率、集中度和状态。同一限额同一日期重复执行会更新当前快照，不会重复生成多条。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8.4 PD/LGD/EAD 回溯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单击“PD/LGD/EAD 回溯”页签。</w:t>
      </w:r>
    </w:p>
    <w:p>
      <w:pPr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5500000" cy="3498590"/>
            <wp:effectExtent l="0" t="0" r="0" b="0"/>
            <wp:docPr id="9" name="Screenshot 9" descr="图 9 PD、LGD、EAD 模型回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498590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overText"/>
        <w:jc w:val="center"/>
        <w:spacing w:after="180"/>
      </w:pPr>
      <w:r>
        <w:rPr>
          <w:sz w:val="18"/>
          <w:szCs w:val="18"/>
          <w:color w:val="52606D"/>
          <w:rFonts w:ascii="Microsoft YaHei" w:hAnsi="Microsoft YaHei" w:eastAsia="Microsoft YaHei"/>
        </w:rPr>
        <w:t xml:space="preserve">图 9 PD、LGD、EAD 模型回溯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单击“执行回溯”后，系统按行业和产品比较：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预期 PD 与实际违约率。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预期 LGD 与实际 LGD。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预测违约 EAD 与实际违约暴露。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预测 EL 与实际损失。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状态说明：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状态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处理建议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稳定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参数表现处于正常区间，继续监控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关注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偏差进入关注区间，观察下一批结果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需校准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偏差超过阈值，复核样本和参数并发起模型调整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执行回溯会生成新的批次记录。模型管理员应记录异常分段、原因分析和后续动作。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8.5 预警处置效果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单击“预警处置效果”页签。</w:t>
      </w:r>
    </w:p>
    <w:p>
      <w:pPr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5500000" cy="3498590"/>
            <wp:effectExtent l="0" t="0" r="0" b="0"/>
            <wp:docPr id="10" name="Screenshot 10" descr="图 10 预警处置效果评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498590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overText"/>
        <w:jc w:val="center"/>
        <w:spacing w:after="180"/>
      </w:pPr>
      <w:r>
        <w:rPr>
          <w:sz w:val="18"/>
          <w:szCs w:val="18"/>
          <w:color w:val="52606D"/>
          <w:rFonts w:ascii="Microsoft YaHei" w:hAnsi="Microsoft YaHei" w:eastAsia="Microsoft YaHei"/>
        </w:rPr>
        <w:t xml:space="preserve">图 10 预警处置效果评价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单击“生成评价”，系统对已关闭案件比较关闭时风险评分与当前风险表现。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评价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含义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观察中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关闭后不足 30 天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有效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风险评分明显下降且无逾期、无违约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部分有效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风险下降但未满足全部有效条件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无效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风险未下降或继续恶化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无效或部分有效案件应重新评估措施，必要时重新立案、调整限额或复核模型。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9. 预警处置中心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入口：预警与处置 → 预警处置中心。</w:t>
      </w:r>
    </w:p>
    <w:p>
      <w:pPr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5500000" cy="3819444"/>
            <wp:effectExtent l="0" t="0" r="0" b="0"/>
            <wp:docPr id="11" name="Screenshot 11" descr="图 11 预警处置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819444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overText"/>
        <w:jc w:val="center"/>
        <w:spacing w:after="180"/>
      </w:pPr>
      <w:r>
        <w:rPr>
          <w:sz w:val="18"/>
          <w:szCs w:val="18"/>
          <w:color w:val="52606D"/>
          <w:rFonts w:ascii="Microsoft YaHei" w:hAnsi="Microsoft YaHei" w:eastAsia="Microsoft YaHei"/>
        </w:rPr>
        <w:t xml:space="preserve">图 11 预警处置中心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9.1 页面摘要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顶部显示待处置、处理中、已逾期、今日到期、已关联闭环和已关闭案件数量。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9.2 案件筛选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使用“全部、待处置、处理中、已逾期、已关闭”页签切换案件状态。列表显示优先级、客户、评分、整改任务、风险事件、客户 KRI、SLA、责任人和操作。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9.3 同步预警闭环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单击“同步预警闭环”，系统会：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根据当前组合评分识别预警客户。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新建或更新预警案件。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关联风险台账。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生成整改任务。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同步风险事件和客户 KRI。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6. 更新案件摘要。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9.4 开始处置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找到待处置或已逾期案件。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单击“开始处置”。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确认责任人、整改任务和 SLA。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按任务要求开展客户核验、催收、限额冻结、押品复核等措施。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在整改任务中更新进度。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9.5 关闭案件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确认必要核验和整改已完成。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单击“关闭案件”。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填写风险核验和处置结论。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提交关闭。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检查整改任务、风险事件和 KRI 是否同步更新。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6. 案件进入 30 天效果观察。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不得在风险事实未核实、任务未完成或结论为空时关闭案件。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10. 风险智能问答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入口：智能与治理 → 风险智能问答。</w:t>
      </w:r>
    </w:p>
    <w:p>
      <w:pPr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5500000" cy="3498590"/>
            <wp:effectExtent l="0" t="0" r="0" b="0"/>
            <wp:docPr id="12" name="Screenshot 12" descr="图 12 客户风险智能分析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498590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overText"/>
        <w:jc w:val="center"/>
        <w:spacing w:after="180"/>
      </w:pPr>
      <w:r>
        <w:rPr>
          <w:sz w:val="18"/>
          <w:szCs w:val="18"/>
          <w:color w:val="52606D"/>
          <w:rFonts w:ascii="Microsoft YaHei" w:hAnsi="Microsoft YaHei" w:eastAsia="Microsoft YaHei"/>
        </w:rPr>
        <w:t xml:space="preserve">图 12 客户风险智能分析结果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10.1 分析步骤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输入客户编号或客户名称。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输入问题，或选择页面提供的快捷问题。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选择“仅使用内部数据”或“查询外部数据”。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单击“开始分析”。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查看风险评分、30 天预测、风险变化和建议动作。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6. 在右侧“证据引用”核对数据来源。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10.2 推荐问题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该客户当前风险如何？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是否存在逾期或违约？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额度和风险敞口情况如何？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押品担保是否充足？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未来 30 天风险会如何变化？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外部数据有什么提示？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下一步处置建议是什么？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该客户 LGD、回收率和衰退损失如何？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10.3 结果解释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AI 结果应同时包含：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当前风险等级和评分。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30 天预测评分与变化判断。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主要风险信号。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建议动作。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证据引用和来源表。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外部数据状态。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AI 分析是辅助结论，不代替授信审批、违约认定和案件关闭。外部数据不可用时，系统会继续使用内部数据并标记降级状态。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11. 数据治理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入口：智能与治理 → 数据治理。</w:t>
      </w:r>
    </w:p>
    <w:p>
      <w:pPr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5500000" cy="3819444"/>
            <wp:effectExtent l="0" t="0" r="0" b="0"/>
            <wp:docPr id="13" name="Screenshot 13" descr="图 13 数据治理与质量检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819444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overText"/>
        <w:jc w:val="center"/>
        <w:spacing w:after="180"/>
      </w:pPr>
      <w:r>
        <w:rPr>
          <w:sz w:val="18"/>
          <w:szCs w:val="18"/>
          <w:color w:val="52606D"/>
          <w:rFonts w:ascii="Microsoft YaHei" w:hAnsi="Microsoft YaHei" w:eastAsia="Microsoft YaHei"/>
        </w:rPr>
        <w:t xml:space="preserve">图 13 数据治理与质量检查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11.1 质量摘要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顶部显示质量评分、检查项、通过、关注、失败和问题记录。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11.2 生成质量快照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单击“生成质量快照”。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等待检查完成。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查看每个检查项的严重度、覆盖记录、问题记录、问题比例和状态。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对关注或失败项目下钻异常数据。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修复数据后重新生成快照。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11.3 重点检查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有效客户评级覆盖。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有效客户额度覆盖。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合同与申请关联完整性。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支用与合同关联完整性。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风险敞口与支用关联完整性。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合同与押品关联完整性。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逾期债项引用完整性。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业务日期先后顺序。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11.4 数据血缘目录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血缘目录展示数据域、实体、来源表、业务主键、关键字段、时效 SLA 和敏感级别。数据异常时，应根据血缘从风险结果追溯到源业务表。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12. 组合评分规则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入口：智能与治理 → 组合评分规则。</w:t>
      </w:r>
    </w:p>
    <w:p>
      <w:pPr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5500000" cy="3819444"/>
            <wp:effectExtent l="0" t="0" r="0" b="0"/>
            <wp:docPr id="14" name="Screenshot 14" descr="图 14 组合评分规则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819444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overText"/>
        <w:jc w:val="center"/>
        <w:spacing w:after="180"/>
      </w:pPr>
      <w:r>
        <w:rPr>
          <w:sz w:val="18"/>
          <w:szCs w:val="18"/>
          <w:color w:val="52606D"/>
          <w:rFonts w:ascii="Microsoft YaHei" w:hAnsi="Microsoft YaHei" w:eastAsia="Microsoft YaHei"/>
        </w:rPr>
        <w:t xml:space="preserve">图 14 组合评分规则配置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12.1 规则字段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字段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说明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规则编号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规则唯一标识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指标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逾期、违约、PD、额度使用率、覆盖率等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操作符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大于、大于等于、小于、小于等于、等于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阈值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触发规则的数值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动作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ADD 累加分值或 FLOOR 设置最低分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分值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规则触发后的评分影响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风险标签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输出给看板、案件和 AI 的标签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启用状态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是否参与生产评分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12.2 操作注意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生产规则修改前应先在模型治理中创建草稿和模拟。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同一指标的 ADD 规则按引擎约束执行，避免重复累计。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高风险兜底规则应使用 FLOOR。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规则变更后检查风险客户数量和等级迁徙。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直接删除生产规则前必须完成影响评估。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13. 模型治理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入口：智能与治理 → 模型治理。</w:t>
      </w:r>
    </w:p>
    <w:p>
      <w:pPr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5500000" cy="3819444"/>
            <wp:effectExtent l="0" t="0" r="0" b="0"/>
            <wp:docPr id="15" name="Screenshot 15" descr="图 15 模型版本与压力测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819444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overText"/>
        <w:jc w:val="center"/>
        <w:spacing w:after="180"/>
      </w:pPr>
      <w:r>
        <w:rPr>
          <w:sz w:val="18"/>
          <w:szCs w:val="18"/>
          <w:color w:val="52606D"/>
          <w:rFonts w:ascii="Microsoft YaHei" w:hAnsi="Microsoft YaHei" w:eastAsia="Microsoft YaHei"/>
        </w:rPr>
        <w:t xml:space="preserve">图 15 模型版本与压力测试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13.1 模型版本流程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创建草稿 → 调整规则 → 模拟 → 提交 → 审批 → 发布 → 监控 → 回滚或退役。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13.2 创建模型草稿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单击“创建模型草稿”。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输入版本号、版本名称和说明。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保存草稿。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打开详情调整规则。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单击“模拟”查看客户评分影响。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6. 确认后提交审批。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13.3 发布与回滚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只有审批通过的版本可以发布。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同一模型同一时点只能有一个发布版本。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发布后应检查模型监控、预警客户和回溯结果。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新版本表现异常时，可对已退役版本执行回滚。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13.4 压力测试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选择行业下行、利率上行或押品折减，单击“运行测试”，比较当前评分、压力评分和变化。压力测试仅用于评估，不直接改变生产评分。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14. 模型监控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入口：智能与治理 → 模型监控。</w:t>
      </w:r>
    </w:p>
    <w:p>
      <w:pPr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5500000" cy="3819444"/>
            <wp:effectExtent l="0" t="0" r="0" b="0"/>
            <wp:docPr id="16" name="Screenshot 16" descr="图 16 模型运行监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819444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overText"/>
        <w:jc w:val="center"/>
        <w:spacing w:after="180"/>
      </w:pPr>
      <w:r>
        <w:rPr>
          <w:sz w:val="18"/>
          <w:szCs w:val="18"/>
          <w:color w:val="52606D"/>
          <w:rFonts w:ascii="Microsoft YaHei" w:hAnsi="Microsoft YaHei" w:eastAsia="Microsoft YaHei"/>
        </w:rPr>
        <w:t xml:space="preserve">图 16 模型运行监控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模型监控用于观察：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客户覆盖率。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平均风险评分。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高风险和极高风险占比。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评分分布变化。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模型运行日期和版本。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与上一快照的变化。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发现评分突然整体上升、覆盖客户大幅减少或分布异常时，应检查数据质量、规则版本和计算任务。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15. 预警订阅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入口：智能与治理 → 预警订阅。</w:t>
      </w:r>
    </w:p>
    <w:p>
      <w:pPr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5500000" cy="3819444"/>
            <wp:effectExtent l="0" t="0" r="0" b="0"/>
            <wp:docPr id="17" name="Screenshot 17" descr="图 17 预警订阅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819444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overText"/>
        <w:jc w:val="center"/>
        <w:spacing w:after="180"/>
      </w:pPr>
      <w:r>
        <w:rPr>
          <w:sz w:val="18"/>
          <w:szCs w:val="18"/>
          <w:color w:val="52606D"/>
          <w:rFonts w:ascii="Microsoft YaHei" w:hAnsi="Microsoft YaHei" w:eastAsia="Microsoft YaHei"/>
        </w:rPr>
        <w:t xml:space="preserve">图 17 预警订阅管理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15.1 新建订阅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单击新增。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填写订阅名称。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选择风险对象和触发条件。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选择接收用户或角色。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选择系统消息、邮件等渠道。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6. 启用订阅并保存。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15.2 手工分发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需要立即验证订阅时，可单击分发按钮。检查通知记录和邮件状态。MQ 或邮件不可用时，主风险数据不受影响，但应在通知和日志中处理失败记录。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16. 风险关系图谱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入口：智能与治理 → 风险关系图谱。</w:t>
      </w:r>
    </w:p>
    <w:p>
      <w:pPr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5500000" cy="3819444"/>
            <wp:effectExtent l="0" t="0" r="0" b="0"/>
            <wp:docPr id="18" name="Screenshot 18" descr="图 18 风险关系图谱查询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.png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819444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overText"/>
        <w:jc w:val="center"/>
        <w:spacing w:after="180"/>
      </w:pPr>
      <w:r>
        <w:rPr>
          <w:sz w:val="18"/>
          <w:szCs w:val="18"/>
          <w:color w:val="52606D"/>
          <w:rFonts w:ascii="Microsoft YaHei" w:hAnsi="Microsoft YaHei" w:eastAsia="Microsoft YaHei"/>
        </w:rPr>
        <w:t xml:space="preserve">图 18 风险关系图谱查询入口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16.1 查询步骤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输入客户编号。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单击“查询图谱”。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查看客户、额度、申请、合同、债项、押品、逾期、违约、案件和事件节点。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单击节点查看编号、金额、日期和状态。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沿客户—合同—债项—逾期—违约路径核验风险传播。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图谱节点较多时，应按对象类型或层级逐步展开，避免一次展示过多节点。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17. 管理报表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入口：智能与治理 → 管理报表。</w:t>
      </w:r>
    </w:p>
    <w:p>
      <w:pPr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5500000" cy="3819444"/>
            <wp:effectExtent l="0" t="0" r="0" b="0"/>
            <wp:docPr id="19" name="Screenshot 19" descr="图 19 组合风险管理报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819444"/>
                    </a:xfrm>
                    <a:prstGeom prst="rect">
                      <a:avLst/>
                    </a:prstGeom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overText"/>
        <w:jc w:val="center"/>
        <w:spacing w:after="180"/>
      </w:pPr>
      <w:r>
        <w:rPr>
          <w:sz w:val="18"/>
          <w:szCs w:val="18"/>
          <w:color w:val="52606D"/>
          <w:rFonts w:ascii="Microsoft YaHei" w:hAnsi="Microsoft YaHei" w:eastAsia="Microsoft YaHei"/>
        </w:rPr>
        <w:t xml:space="preserve">图 19 组合风险管理报表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17.1 报表视角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页签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内容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机构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各机构客户、预警、高风险和风险敞口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行业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行业客户、风险和集中度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产品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产品 EAD、EL、PD 和 LGD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风险迁移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等级变化和风险上迁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17.2 使用方法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单击对应页签切换分析视角。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检查顶部客户、预警、高风险、上迁、逾期和违约指标。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按风险敞口或高风险数量排序。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下钻到客户或业务明细。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导出前确认数据日期和筛选范围。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18. 通用预警与处置目录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18.1 风险台账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记录风险编号、名称、分类、等级、责任部门、责任人、状态、识别日期和整改期限。信贷预警自动生成的台账应通过案件关联查看，不要重复人工新建同一风险。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18.2 风险评估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录入发生可能性、影响程度、固有风险、剩余风险、评估人、日期和结论。评估结果应与控制措施和整改任务对应。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18.3 控制措施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维护预防性、发现性和纠正性控制，设置执行频率、责任人、有效性和状态。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18.4 整改任务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维护整改动作、责任人、截止日期、进度和状态。预警案件启动后系统会自动生成任务，处置人员应持续更新进度。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18.5 风险事件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记录事件严重程度、发生时间、损失金额、责任人和处理状态。预警案件关闭后，关联事件进入复盘或关闭状态。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18.6 风险指标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维护指标阈值、当前值、趋势、责任人和状态。案件闭环中的客户 KRI 会随案件和风险变化同步。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19. 系统管理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19.1 用户与角色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系统管理员可维护用户、角色、部门、岗位和权限。角色变更后，用户重新加载资料或重新登录即可获得新权限。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19.2 风险参数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风险参数用于管理阈值和业务配置。修改前应确认参数用途、单位、作用范围和是否支持动态生效。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19.3 通知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通知支持系统、邮件和短信渠道定义。生产环境的实际渠道由 Apollo 和运行配置控制。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19.4 日志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日志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用途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登录日志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查询登录成功、失败和账号异常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操作日志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查询限额、模型、案件等操作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错误日志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查询接口错误和请求标识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外部访问日志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查询外部风险数据调用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模型审批日志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查询模型提交、审批、发布和回滚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20. 推荐日常操作流程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20.1 每日风险经理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登录后查看风险总览。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处理 P1、超限和已逾期案件。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查看违约趋势和 30 天风险上迁。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检查组合限额预警与超限。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下钻重点客户台账、LGD 和押品。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6. 更新整改任务并记录处置进度。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20.2 每日模型管理员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查看模型监控快照。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检查 PD/LGD/EAD 回溯状态。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关注需校准行业或产品分段。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检查 LGD 参数和计算批次。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对异常结果进行样本和数据质量核验。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20.3 每日数据治理人员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查看数据质量评分。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处理失败和关注检查项。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核对数据日期和任务完成情况。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根据血缘定位源表问题。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修复后重新生成质量快照。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20.4 每周或每月管理动作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复核集中度和限额设置。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分析行业、产品和机构风险变化。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评价已关闭预警案件效果。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审查模型回溯和压力测试。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形成管理报表并完成签字归档。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21. 常见问题与处理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问题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检查方法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处理建议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页面显示 0 或空表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检查筛选条件和数据日期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重置条件、刷新或检查定时任务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页面返回 401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检查是否登录过期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重新登录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页面返回 403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检查角色权限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联系管理员授权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外部数据不可用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查看 AI 页面外部状态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使用内部结果并联系外部供应商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限额全为预警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检查限额和预警比例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按风险偏好调整，避免随意放宽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回溯大量需校准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检查样本量、数据日期和违约口径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先核验数据，再调整模型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案件无法关闭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检查结论和任务状态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完成必要任务并填写关闭结论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图表与台账不一致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检查流量/存量和数据日期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统一口径后复核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通知未发送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检查 MQ、邮件配置和日志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恢复服务并补偿发送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中文显示异常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检查数据库和文件字符集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统一使用 utf8mb4 和 UTF-8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22. 安全操作注意事项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不得共享账号或将管理员账号用于日常业务。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不得在聊天、截图或邮件中传播密码、令牌、私钥和数据库密码。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导出客户、合同、评级、逾期和违约数据前应确认授权。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外部数据查询仅发送必要的客户识别信息。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模型发布、限额调整和案件关闭必须使用本人账号。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离开终端前应退出系统或锁定计算机。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发现异常登录、越权或数据泄露时立即联系安全管理员。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附录 A：核心业务状态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领域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状态及含义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风险等级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低风险、中风险、高风险、极高风险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优先级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P1 最高，P4 最低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限额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正常、预警、超限、停用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回溯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稳定、关注、需校准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处置效果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观察中、有效、部分有效、无效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预警案件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待处置、处理中、已逾期、已关闭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草稿、评审中、已审批、已发布、已退役或回滚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附录 B：核心计算口径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EAD：违约风险暴露。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PD：违约概率。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LGD：违约损失率。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EL：PD × LGD × EAD。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集中度占比：分组 EAD ÷ 组合 EAD。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HHI：各分组集中度占比平方和。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限额使用率：当前值 ÷ 限额。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实际违约率：违约债项数 ÷ 观察债项数。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实际 LGD：损失金额 ÷ 实际违约暴露。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附录 C：手册截图说明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手册截图采集自 2026-07-23 本地组合风险系统，使用模拟对公信贷数据。客户名称、编号、金额、风险评分、限额、案件状态和模型结果仅用于功能演示，不代表真实客户或生产风险结论。</w:t>
      </w:r>
    </w:p>
    <w:sectPr>
      <w:pgSz w:w="11906" w:h="16838"/>
      <w:pgMar w:top="1134" w:right="1021" w:bottom="1134" w:left="1247" w:header="567" w:footer="567" w:gutter="0"/>
      <w:cols w:space="425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120" w:line="330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CoverText"/>
    <w:qFormat/>
    <w:pPr>
      <w:jc w:val="center"/>
    </w:pPr>
  </w:style>
  <w:style w:type="paragraph" w:styleId="CoverText">
    <w:name w:val="Cover Text"/>
    <w:basedOn w:val="Normal"/>
    <w:pPr>
      <w:jc w:val="center"/>
    </w:pPr>
  </w:style>
  <w:style w:type="paragraph" w:styleId="Heading1">
    <w:name w:val="heading 1"/>
    <w:basedOn w:val="Normal"/>
    <w:next w:val="Normal"/>
    <w:qFormat/>
    <w:pPr>
      <w:keepNext/>
      <w:spacing w:before="360" w:after="180"/>
      <w:outlineLvl w:val="0"/>
    </w:pPr>
    <w:rPr>
      <w:b/>
      <w:color w:val="163A5F"/>
      <w:sz w:val="34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color w:val="1F5A82"/>
      <w:sz w:val="28"/>
    </w:rPr>
  </w:style>
  <w:style w:type="paragraph" w:styleId="Heading3">
    <w:name w:val="heading 3"/>
    <w:basedOn w:val="Normal"/>
    <w:next w:val="Normal"/>
    <w:qFormat/>
    <w:pPr>
      <w:keepNext/>
      <w:spacing w:before="220" w:after="100"/>
      <w:outlineLvl w:val="2"/>
    </w:pPr>
    <w:rPr>
      <w:b/>
      <w:color w:val="2B6F9F"/>
      <w:sz w:val="24"/>
    </w:rPr>
  </w:style>
  <w:style w:type="paragraph" w:styleId="ListParagraph">
    <w:name w:val="List Paragraph"/>
    <w:basedOn w:val="Normal"/>
  </w:style>
  <w:style w:type="paragraph" w:styleId="TableText">
    <w:name w:val="Table Text"/>
    <w:basedOn w:val="Normal"/>
    <w:pPr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项目组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组合风险系统详细操作说明书</dc:title>
  <dc:subject>组合风险系统项目文档</dc:subject>
  <dc:creator>项目组</dc:creator>
  <cp:lastModifiedBy>项目组</cp:lastModifiedBy>
  <dcterms:created xsi:type="dcterms:W3CDTF">2026-07-23T00:00:00Z</dcterms:created>
  <dcterms:modified xsi:type="dcterms:W3CDTF">2026-07-23T00:00:00Z</dcterms:modified>
</cp:coreProperties>
</file>