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8"/>
        </w:rPr>
        <w:t>Research Lakehouse</w:t>
      </w:r>
    </w:p>
    <w:p>
      <w:pPr>
        <w:spacing w:after="120"/>
        <w:jc w:val="center"/>
        <w:pBdr>
          <w:bottom w:val="single" w:sz="10" w:space="4" w:color="2E75B6"/>
        </w:pBdr>
      </w:pPr>
      <w:r>
        <w:rPr>
          <w:color w:val="2E75B6"/>
          <w:sz w:val="32"/>
        </w:rPr>
        <w:t>An End-to-End Data Engineering Pipeline on Databricks Free Edition</w:t>
      </w:r>
    </w:p>
    <w:p/>
    <w:p/>
    <w:p/>
    <w:p>
      <w:pPr>
        <w:jc w:val="center"/>
      </w:pPr>
      <w:r>
        <w:rPr>
          <w:b/>
          <w:color w:val="595959"/>
          <w:sz w:val="24"/>
        </w:rPr>
        <w:t>Project Report</w:t>
        <w:br/>
      </w:r>
      <w:r>
        <w:rPr>
          <w:color w:val="595959"/>
          <w:sz w:val="24"/>
        </w:rPr>
        <w:t>Medallion Architecture · Unity Catalog · Delta Lake · PySpark · Databricks SQL</w:t>
        <w:br/>
      </w:r>
      <w:r>
        <w:rPr>
          <w:color w:val="595959"/>
          <w:sz w:val="24"/>
        </w:rPr>
        <w:t>Data Source: arXiv Atom API (cs.AI, cs.LG, cs.CL)</w:t>
      </w:r>
    </w:p>
    <w:p>
      <w:r>
        <w:br w:type="page"/>
      </w:r>
    </w:p>
    <w:p>
      <w:pPr>
        <w:pStyle w:val="Heading1"/>
      </w:pPr>
      <w:r>
        <w:t>1. Introduction</w:t>
      </w:r>
    </w:p>
    <w:p>
      <w:pPr>
        <w:spacing w:after="160"/>
      </w:pPr>
      <w:r>
        <w:rPr>
          <w:i w:val="0"/>
          <w:sz w:val="22"/>
        </w:rPr>
        <w:t>The Research Lakehouse is an end-to-end data engineering project built on Databricks Free Edition, designed to ingest, process, and analyze academic research papers from the arXiv Atom API (categories cs.AI, cs.LG, and cs.CL). The project implements a full medallion architecture — bronze, silver, and gold layers — using Unity Catalog and Delta Lake as the storage and governance foundation, with PySpark handling all extraction, transformation, and load (ETL) logic.</w:t>
      </w:r>
    </w:p>
    <w:p>
      <w:pPr>
        <w:spacing w:after="160"/>
      </w:pPr>
      <w:r>
        <w:rPr>
          <w:i w:val="0"/>
          <w:sz w:val="22"/>
        </w:rPr>
        <w:t>The pipeline covers the complete data engineering lifecycle: multi-source extraction (REST API, PDF documents, embedded images), incremental and full-load strategies, idempotent MERGE-based writes, dimensional modeling (star schema), resilience and failure-handling mechanisms, and a live analytics dashboard built with Databricks SQL.</w:t>
      </w:r>
    </w:p>
    <w:p>
      <w:pPr>
        <w:pStyle w:val="Heading1"/>
      </w:pPr>
      <w:r>
        <w:t>2. Why a Medallion Architecture?</w:t>
      </w:r>
    </w:p>
    <w:p>
      <w:pPr>
        <w:spacing w:after="160"/>
      </w:pPr>
      <w:r>
        <w:rPr>
          <w:i w:val="0"/>
          <w:sz w:val="22"/>
        </w:rPr>
        <w:t>Raw data from an external API is rarely clean, and external sources can fail, rate-limit, or change format without notice. A single-table approach would force every downstream fix to re-hit a fragile external API. The medallion pattern solves this by separating concerns into three progressively refined layers:</w:t>
      </w:r>
    </w:p>
    <w:p>
      <w:pPr>
        <w:pStyle w:val="ListBullet"/>
        <w:spacing w:after="120"/>
      </w:pPr>
      <w:r>
        <w:rPr>
          <w:b/>
          <w:color w:val="2E75B6"/>
          <w:sz w:val="22"/>
        </w:rPr>
        <w:t xml:space="preserve">Bronze (raw): </w:t>
      </w:r>
      <w:r>
        <w:rPr>
          <w:sz w:val="22"/>
        </w:rPr>
        <w:t>Data is landed exactly as received from the source, preserving a complete and honest audit trail. This allows safe reprocessing of history without ever needing to re-call the source API.</w:t>
      </w:r>
    </w:p>
    <w:p>
      <w:pPr>
        <w:pStyle w:val="ListBullet"/>
        <w:spacing w:after="120"/>
      </w:pPr>
      <w:r>
        <w:rPr>
          <w:b/>
          <w:color w:val="2E75B6"/>
          <w:sz w:val="22"/>
        </w:rPr>
        <w:t xml:space="preserve">Silver (cleaned &amp; conformed): </w:t>
      </w:r>
      <w:r>
        <w:rPr>
          <w:sz w:val="22"/>
        </w:rPr>
        <w:t>Deduplication, validation, joins, and standardization are applied here, producing one trustworthy version of each business entity (papers, authors, PDFs, images).</w:t>
      </w:r>
    </w:p>
    <w:p>
      <w:pPr>
        <w:pStyle w:val="ListBullet"/>
        <w:spacing w:after="120"/>
      </w:pPr>
      <w:r>
        <w:rPr>
          <w:b/>
          <w:color w:val="2E75B6"/>
          <w:sz w:val="22"/>
        </w:rPr>
        <w:t xml:space="preserve">Gold (business-ready): </w:t>
      </w:r>
      <w:r>
        <w:rPr>
          <w:sz w:val="22"/>
        </w:rPr>
        <w:t>Data is reshaped into a dimensional model (star schema) optimized for fast, simple analytical queries — this is what powers the dashboard.</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1: Medallion Architecture used in this project (Bronze → Silver → Gold)</w:t>
      </w:r>
    </w:p>
    <w:p>
      <w:pPr>
        <w:pStyle w:val="Heading1"/>
      </w:pPr>
      <w:r>
        <w:t>3. Data Sources</w:t>
      </w:r>
    </w:p>
    <w:p>
      <w:pPr>
        <w:spacing w:after="160"/>
      </w:pPr>
      <w:r>
        <w:rPr>
          <w:i w:val="0"/>
          <w:sz w:val="22"/>
        </w:rPr>
        <w:t>The primary data source is the arXiv Atom API, a public REST API that provides metadata and PDF links for research papers. Data is fetched using paginated queries filtered by category (cs.AI, cs.LG, cs.CL) and, where required, by submission-date range. PDF documents are downloaded directly from arXiv and stored as raw files in a Unity Catalog Volume; embedded figures/images are subsequently extracted from those PDFs using PyMuPDF and pdfplumber.</w:t>
      </w:r>
    </w:p>
    <w:tbl>
      <w:tblPr>
        <w:tblStyle w:val="TableGrid"/>
        <w:tblW w:type="auto" w:w="0"/>
        <w:jc w:val="center"/>
        <w:tblLook w:firstColumn="1" w:firstRow="1" w:lastColumn="0" w:lastRow="0" w:noHBand="0" w:noVBand="1" w:val="04A0"/>
      </w:tblPr>
      <w:tblGrid>
        <w:gridCol w:w="3099"/>
        <w:gridCol w:w="3099"/>
        <w:gridCol w:w="3099"/>
      </w:tblGrid>
      <w:tr>
        <w:tc>
          <w:tcPr>
            <w:tcW w:type="dxa" w:w="2551"/>
            <w:shd w:val="clear" w:color="auto" w:fill="1F4E79"/>
            <w:vAlign w:val="center"/>
          </w:tcPr>
          <w:p>
            <w:r/>
            <w:r>
              <w:rPr>
                <w:b/>
                <w:color w:val="FFFFFF"/>
                <w:sz w:val="21"/>
              </w:rPr>
              <w:t>Source</w:t>
            </w:r>
          </w:p>
        </w:tc>
        <w:tc>
          <w:tcPr>
            <w:tcW w:type="dxa" w:w="1984"/>
            <w:shd w:val="clear" w:color="auto" w:fill="1F4E79"/>
            <w:vAlign w:val="center"/>
          </w:tcPr>
          <w:p>
            <w:r/>
            <w:r>
              <w:rPr>
                <w:b/>
                <w:color w:val="FFFFFF"/>
                <w:sz w:val="21"/>
              </w:rPr>
              <w:t>Type</w:t>
            </w:r>
          </w:p>
        </w:tc>
        <w:tc>
          <w:tcPr>
            <w:tcW w:type="dxa" w:w="4535"/>
            <w:shd w:val="clear" w:color="auto" w:fill="1F4E79"/>
            <w:vAlign w:val="center"/>
          </w:tcPr>
          <w:p>
            <w:r/>
            <w:r>
              <w:rPr>
                <w:b/>
                <w:color w:val="FFFFFF"/>
                <w:sz w:val="21"/>
              </w:rPr>
              <w:t>Ingestion Method</w:t>
            </w:r>
          </w:p>
        </w:tc>
      </w:tr>
      <w:tr>
        <w:tc>
          <w:tcPr>
            <w:tcW w:type="dxa" w:w="2551"/>
            <w:vAlign w:val="center"/>
          </w:tcPr>
          <w:p>
            <w:r/>
            <w:r>
              <w:rPr>
                <w:sz w:val="21"/>
              </w:rPr>
              <w:t>arXiv Atom API</w:t>
            </w:r>
          </w:p>
        </w:tc>
        <w:tc>
          <w:tcPr>
            <w:tcW w:type="dxa" w:w="1984"/>
            <w:vAlign w:val="center"/>
          </w:tcPr>
          <w:p>
            <w:r/>
            <w:r>
              <w:rPr>
                <w:sz w:val="21"/>
              </w:rPr>
              <w:t>REST API</w:t>
            </w:r>
          </w:p>
        </w:tc>
        <w:tc>
          <w:tcPr>
            <w:tcW w:type="dxa" w:w="4535"/>
            <w:vAlign w:val="center"/>
          </w:tcPr>
          <w:p>
            <w:r/>
            <w:r>
              <w:rPr>
                <w:sz w:val="21"/>
              </w:rPr>
              <w:t>Paginated GET requests, MERGE-based incremental load</w:t>
            </w:r>
          </w:p>
        </w:tc>
      </w:tr>
      <w:tr>
        <w:tc>
          <w:tcPr>
            <w:tcW w:type="dxa" w:w="2551"/>
            <w:vAlign w:val="center"/>
          </w:tcPr>
          <w:p>
            <w:r/>
            <w:r>
              <w:rPr>
                <w:sz w:val="21"/>
              </w:rPr>
              <w:t>arXiv PDF endpoint</w:t>
            </w:r>
          </w:p>
        </w:tc>
        <w:tc>
          <w:tcPr>
            <w:tcW w:type="dxa" w:w="1984"/>
            <w:vAlign w:val="center"/>
          </w:tcPr>
          <w:p>
            <w:r/>
            <w:r>
              <w:rPr>
                <w:sz w:val="21"/>
              </w:rPr>
              <w:t>Flat file (binary)</w:t>
            </w:r>
          </w:p>
        </w:tc>
        <w:tc>
          <w:tcPr>
            <w:tcW w:type="dxa" w:w="4535"/>
            <w:vAlign w:val="center"/>
          </w:tcPr>
          <w:p>
            <w:r/>
            <w:r>
              <w:rPr>
                <w:sz w:val="21"/>
              </w:rPr>
              <w:t>Direct download to Unity Catalog Volume</w:t>
            </w:r>
          </w:p>
        </w:tc>
      </w:tr>
      <w:tr>
        <w:tc>
          <w:tcPr>
            <w:tcW w:type="dxa" w:w="2551"/>
            <w:vAlign w:val="center"/>
          </w:tcPr>
          <w:p>
            <w:r/>
            <w:r>
              <w:rPr>
                <w:sz w:val="21"/>
              </w:rPr>
              <w:t>Embedded PDF images</w:t>
            </w:r>
          </w:p>
        </w:tc>
        <w:tc>
          <w:tcPr>
            <w:tcW w:type="dxa" w:w="1984"/>
            <w:vAlign w:val="center"/>
          </w:tcPr>
          <w:p>
            <w:r/>
            <w:r>
              <w:rPr>
                <w:sz w:val="21"/>
              </w:rPr>
              <w:t>Extracted binary</w:t>
            </w:r>
          </w:p>
        </w:tc>
        <w:tc>
          <w:tcPr>
            <w:tcW w:type="dxa" w:w="4535"/>
            <w:vAlign w:val="center"/>
          </w:tcPr>
          <w:p>
            <w:r/>
            <w:r>
              <w:rPr>
                <w:sz w:val="21"/>
              </w:rPr>
              <w:t>PyMuPDF extraction to Volume + metadata table</w:t>
            </w:r>
          </w:p>
        </w:tc>
      </w:tr>
    </w:tbl>
    <w:p>
      <w:pPr>
        <w:spacing w:after="80"/>
      </w:pPr>
    </w:p>
    <w:p>
      <w:pPr>
        <w:spacing w:before="80"/>
      </w:pPr>
      <w:r>
        <w:rPr>
          <w:b/>
          <w:i/>
          <w:color w:val="2E75B6"/>
        </w:rPr>
        <w:t xml:space="preserve">Note: </w:t>
      </w:r>
      <w:r>
        <w:rPr>
          <w:i/>
        </w:rPr>
        <w:t>citation enrichment via Semantic Scholar and OpenAlex was evaluated but ultimately dropped from the pipeline — Semantic Scholar's unauthenticated API rate-limited every request, and OpenAlex does not support direct arXiv-ID lookup and has indexing lag on very recent papers. The star schema was redesigned around paper, author, PDF, and image metrics instead of citation metrics.</w:t>
      </w:r>
    </w:p>
    <w:p>
      <w:pPr>
        <w:pStyle w:val="Heading1"/>
      </w:pPr>
      <w:r>
        <w:t>4. Bronze Layer</w:t>
      </w:r>
    </w:p>
    <w:p>
      <w:pPr>
        <w:spacing w:after="160"/>
      </w:pPr>
      <w:r>
        <w:rPr>
          <w:i w:val="0"/>
          <w:sz w:val="22"/>
        </w:rPr>
        <w:t>The bronze layer captures raw ingestion. Every write uses MERGE on a natural key (paper_id) rather than a blind append, making every bronze notebook idempotent — reruns never create duplicate rows. Incremental loading is achieved via a watermark_control table that tracks the last successful ingestion timestamp per source.</w:t>
      </w:r>
    </w:p>
    <w:p>
      <w:pPr>
        <w:pStyle w:val="ListBullet"/>
        <w:spacing w:after="120"/>
      </w:pPr>
      <w:r>
        <w:rPr>
          <w:b/>
          <w:color w:val="2E75B6"/>
          <w:sz w:val="22"/>
        </w:rPr>
        <w:t>02_ingest_arxiv</w:t>
      </w:r>
      <w:r>
        <w:rPr>
          <w:sz w:val="22"/>
        </w:rPr>
        <w:t>: paginated extraction from the arXiv API, category and (optionally) date-range filtered, watermark-based incremental MERGE.</w:t>
      </w:r>
    </w:p>
    <w:p>
      <w:pPr>
        <w:pStyle w:val="ListBullet"/>
        <w:spacing w:after="120"/>
      </w:pPr>
      <w:r>
        <w:rPr>
          <w:b/>
          <w:color w:val="2E75B6"/>
          <w:sz w:val="22"/>
        </w:rPr>
        <w:t>04_download_pdfs</w:t>
      </w:r>
      <w:r>
        <w:rPr>
          <w:sz w:val="22"/>
        </w:rPr>
        <w:t>: downloads PDF files for a sample of papers into a Unity Catalog Volume, logs status (SUCCESS/FAILED) to pdf_download_log.</w:t>
      </w:r>
    </w:p>
    <w:p>
      <w:pPr>
        <w:pStyle w:val="ListBullet"/>
        <w:spacing w:after="120"/>
      </w:pPr>
      <w:r>
        <w:rPr>
          <w:b/>
          <w:color w:val="2E75B6"/>
          <w:sz w:val="22"/>
        </w:rPr>
        <w:t>05_incremental_ingestion</w:t>
      </w:r>
      <w:r>
        <w:rPr>
          <w:sz w:val="22"/>
        </w:rPr>
        <w:t>: identifies papers not yet successfully downloaded, feeding an incremental delta into 04 rather than re-attempting all papers each run.</w:t>
      </w:r>
    </w:p>
    <w:p>
      <w:pPr>
        <w:pStyle w:val="ListBullet"/>
        <w:spacing w:after="120"/>
      </w:pPr>
      <w:r>
        <w:rPr>
          <w:b/>
          <w:color w:val="2E75B6"/>
          <w:sz w:val="22"/>
        </w:rPr>
        <w:t>table_creation</w:t>
      </w:r>
      <w:r>
        <w:rPr>
          <w:sz w:val="22"/>
        </w:rPr>
        <w:t>: DDL for all bronze tables (arxiv_papers_raw, pdf_download_log, ingestion_audit, watermark_control, enrichment_queue).</w:t>
      </w:r>
    </w:p>
    <w:p>
      <w:pPr>
        <w:pStyle w:val="Heading1"/>
      </w:pPr>
      <w:r>
        <w:t>5. Silver Layer</w:t>
      </w:r>
    </w:p>
    <w:p>
      <w:pPr>
        <w:spacing w:after="160"/>
      </w:pPr>
      <w:r>
        <w:rPr>
          <w:i w:val="0"/>
          <w:sz w:val="22"/>
        </w:rPr>
        <w:t>The silver layer applies cleaning, deduplication, joins, and derived-column logic to produce trustworthy conformed tables.</w:t>
      </w:r>
    </w:p>
    <w:p>
      <w:pPr>
        <w:pStyle w:val="ListBullet"/>
        <w:spacing w:after="120"/>
      </w:pPr>
      <w:r>
        <w:rPr>
          <w:b/>
          <w:color w:val="2E75B6"/>
          <w:sz w:val="22"/>
        </w:rPr>
        <w:t>06_transform_papers</w:t>
      </w:r>
      <w:r>
        <w:rPr>
          <w:sz w:val="22"/>
        </w:rPr>
        <w:t>: window-function deduplication on paper_id, trims text fields, derives publication_year/month, computes author_count via a UDF (authors_json is a Python-repr string, not valid JSON, so ast.literal_eval is used rather than from_json).</w:t>
      </w:r>
    </w:p>
    <w:p>
      <w:pPr>
        <w:pStyle w:val="ListBullet"/>
        <w:spacing w:after="120"/>
      </w:pPr>
      <w:r>
        <w:rPr>
          <w:b/>
          <w:color w:val="2E75B6"/>
          <w:sz w:val="22"/>
        </w:rPr>
        <w:t>07_transform_authors</w:t>
      </w:r>
      <w:r>
        <w:rPr>
          <w:sz w:val="22"/>
        </w:rPr>
        <w:t>: explodes the author list per paper, builds a deduplicated authors dimension (SHA2 hash as author_id) and a paper_author_bridge many-to-many table.</w:t>
      </w:r>
    </w:p>
    <w:p>
      <w:pPr>
        <w:pStyle w:val="ListBullet"/>
        <w:spacing w:after="120"/>
      </w:pPr>
      <w:r>
        <w:rPr>
          <w:b/>
          <w:color w:val="2E75B6"/>
          <w:sz w:val="22"/>
        </w:rPr>
        <w:t>09_extract_pdf_metadata</w:t>
      </w:r>
      <w:r>
        <w:rPr>
          <w:sz w:val="22"/>
        </w:rPr>
        <w:t>: extracts page count and file size from each downloaded PDF using pdfplumber.</w:t>
      </w:r>
    </w:p>
    <w:p>
      <w:pPr>
        <w:pStyle w:val="ListBullet"/>
        <w:spacing w:after="120"/>
      </w:pPr>
      <w:r>
        <w:rPr>
          <w:b/>
          <w:color w:val="2E75B6"/>
          <w:sz w:val="22"/>
        </w:rPr>
        <w:t>10_extract_image_metadata</w:t>
      </w:r>
      <w:r>
        <w:rPr>
          <w:sz w:val="22"/>
        </w:rPr>
        <w:t>: extracts every embedded image from each PDF using PyMuPDF, storing width, height, size, and format, plus an image_summary rollup per paper.</w:t>
      </w:r>
    </w:p>
    <w:p>
      <w:pPr>
        <w:pStyle w:val="Heading1"/>
      </w:pPr>
      <w:r>
        <w:t>6. Gold Layer — Star Schema</w:t>
      </w:r>
    </w:p>
    <w:p>
      <w:pPr>
        <w:spacing w:after="160"/>
      </w:pPr>
      <w:r>
        <w:rPr>
          <w:i w:val="0"/>
          <w:sz w:val="22"/>
        </w:rPr>
        <w:t>The gold layer implements a dimensional model (star schema, with one snowflake extension) built specifically for analytical querying. fact_paper_metrics sits at the center with the measurable facts of each paper (page count, image count, file size), surrounded by four dimension tables. dim_topic is further normalized into dim_field, which is the snowflake element of the design.</w:t>
      </w:r>
    </w:p>
    <w:p>
      <w:pPr>
        <w:pStyle w:val="Heading2"/>
      </w:pPr>
      <w:r>
        <w:t>6.1 Dimension Tables</w:t>
      </w:r>
    </w:p>
    <w:p>
      <w:pPr>
        <w:pStyle w:val="ListBullet"/>
        <w:spacing w:after="120"/>
      </w:pPr>
      <w:r>
        <w:rPr>
          <w:b/>
          <w:color w:val="2E75B6"/>
          <w:sz w:val="22"/>
        </w:rPr>
        <w:t xml:space="preserve">dim_paper </w:t>
      </w:r>
      <w:r>
        <w:rPr>
          <w:sz w:val="22"/>
        </w:rPr>
        <w:t>— title, category, publication date, author count (one row per paper)</w:t>
      </w:r>
    </w:p>
    <w:p>
      <w:pPr>
        <w:pStyle w:val="ListBullet"/>
        <w:spacing w:after="120"/>
      </w:pPr>
      <w:r>
        <w:rPr>
          <w:b/>
          <w:color w:val="2E75B6"/>
          <w:sz w:val="22"/>
        </w:rPr>
        <w:t xml:space="preserve">dim_author </w:t>
      </w:r>
      <w:r>
        <w:rPr>
          <w:sz w:val="22"/>
        </w:rPr>
        <w:t>— deduplicated author name and surrogate key</w:t>
      </w:r>
    </w:p>
    <w:p>
      <w:pPr>
        <w:pStyle w:val="ListBullet"/>
        <w:spacing w:after="120"/>
      </w:pPr>
      <w:r>
        <w:rPr>
          <w:b/>
          <w:color w:val="2E75B6"/>
          <w:sz w:val="22"/>
        </w:rPr>
        <w:t xml:space="preserve">dim_topic </w:t>
      </w:r>
      <w:r>
        <w:rPr>
          <w:sz w:val="22"/>
        </w:rPr>
        <w:t>— category code (e.g. cs.LG), linked to dim_field</w:t>
      </w:r>
    </w:p>
    <w:p>
      <w:pPr>
        <w:pStyle w:val="ListBullet"/>
        <w:spacing w:after="120"/>
      </w:pPr>
      <w:r>
        <w:rPr>
          <w:b/>
          <w:color w:val="2E75B6"/>
          <w:sz w:val="22"/>
        </w:rPr>
        <w:t xml:space="preserve">dim_field </w:t>
      </w:r>
      <w:r>
        <w:rPr>
          <w:sz w:val="22"/>
        </w:rPr>
        <w:t>— parent research field (e.g. cs), the snowflake normalization</w:t>
      </w:r>
    </w:p>
    <w:p>
      <w:pPr>
        <w:pStyle w:val="ListBullet"/>
        <w:spacing w:after="120"/>
      </w:pPr>
      <w:r>
        <w:rPr>
          <w:b/>
          <w:color w:val="2E75B6"/>
          <w:sz w:val="22"/>
        </w:rPr>
        <w:t xml:space="preserve">dim_date </w:t>
      </w:r>
      <w:r>
        <w:rPr>
          <w:sz w:val="22"/>
        </w:rPr>
        <w:t>— year, month, month name, quarter</w:t>
      </w:r>
    </w:p>
    <w:p>
      <w:pPr>
        <w:pStyle w:val="Heading2"/>
      </w:pPr>
      <w:r>
        <w:t>6.2 Fact Tables (Fact Constellation)</w:t>
      </w:r>
    </w:p>
    <w:p>
      <w:pPr>
        <w:spacing w:after="160"/>
      </w:pPr>
      <w:r>
        <w:rPr>
          <w:i w:val="0"/>
          <w:sz w:val="22"/>
        </w:rPr>
        <w:t>Three fact tables share the same conformed dimensions, at three different grains — this is a fact constellation / galaxy schema, an extension of a single star schema that correctly separates measures that don't share a grain.</w:t>
      </w:r>
    </w:p>
    <w:p>
      <w:pPr>
        <w:pStyle w:val="ListBullet"/>
        <w:spacing w:after="120"/>
      </w:pPr>
      <w:r>
        <w:rPr>
          <w:b/>
          <w:color w:val="2E75B6"/>
          <w:sz w:val="22"/>
        </w:rPr>
        <w:t xml:space="preserve">fact_paper_metrics </w:t>
      </w:r>
      <w:r>
        <w:rPr>
          <w:sz w:val="22"/>
        </w:rPr>
        <w:t>— grain: one row per paper (pages, file size, image count)</w:t>
      </w:r>
    </w:p>
    <w:p>
      <w:pPr>
        <w:pStyle w:val="ListBullet"/>
        <w:spacing w:after="120"/>
      </w:pPr>
      <w:r>
        <w:rPr>
          <w:b/>
          <w:color w:val="2E75B6"/>
          <w:sz w:val="22"/>
        </w:rPr>
        <w:t xml:space="preserve">fact_author_metrics </w:t>
      </w:r>
      <w:r>
        <w:rPr>
          <w:sz w:val="22"/>
        </w:rPr>
        <w:t>— grain: one row per author (paper count, avg pages/images, publication date range)</w:t>
      </w:r>
    </w:p>
    <w:p>
      <w:pPr>
        <w:pStyle w:val="ListBullet"/>
        <w:spacing w:after="120"/>
      </w:pPr>
      <w:r>
        <w:rPr>
          <w:b/>
          <w:color w:val="2E75B6"/>
          <w:sz w:val="22"/>
        </w:rPr>
        <w:t xml:space="preserve">fact_topic_growth </w:t>
      </w:r>
      <w:r>
        <w:rPr>
          <w:sz w:val="22"/>
        </w:rPr>
        <w:t>— grain: one row per topic per month (paper count trend)</w:t>
      </w:r>
    </w:p>
    <w:p>
      <w:pPr>
        <w:spacing w:after="160"/>
      </w:pPr>
      <w:r>
        <w:rPr>
          <w:i w:val="0"/>
          <w:sz w:val="22"/>
        </w:rPr>
        <w:t>fact_citation_history was scoped in the original design but intentionally left empty, since citation enrichment was dropped for the reasons explained in Section 3.</w:t>
      </w:r>
    </w:p>
    <w:p>
      <w:pPr>
        <w:pStyle w:val="Heading1"/>
      </w:pPr>
      <w:r>
        <w:t>7. Orchestration &amp; Automation</w:t>
      </w:r>
    </w:p>
    <w:p>
      <w:pPr>
        <w:spacing w:after="160"/>
      </w:pPr>
      <w:r>
        <w:rPr>
          <w:i w:val="0"/>
          <w:sz w:val="22"/>
        </w:rPr>
        <w:t>The pipeline is orchestrated using Databricks Workflows as three composable, layer-specific jobs (bronze_pipeline, silver_pipeline, gold_pipeline), each internally sequencing its notebooks with explicit task dependencies. A top-level orchestrator job runs the three sub-jobs in sequence via Run Job tasks, followed by a final Dashboard Refresh task, so the dashboard always reflects the most recent successful pipeline run.</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2: Orchestration flow — evaluator input flows through bronze → silver → gold → dashboard refresh</w:t>
      </w:r>
    </w:p>
    <w:p>
      <w:pPr>
        <w:spacing w:after="160"/>
      </w:pPr>
      <w:r>
        <w:rPr>
          <w:i w:val="0"/>
          <w:sz w:val="22"/>
        </w:rPr>
        <w:t>A key production requirement was allowing an evaluator to supply a dynamic input (a backfill start date / year) at run time and have it flow through the entire pipeline down to the dashboard. This was implemented using Databricks job parameters: a parameter is declared at the orchestrator level, explicitly forwarded into each Run Job task via {{job.parameters.&lt;name&gt;}}, re-declared at each sub-job level, and finally consumed inside the ingestion notebook via dbutils.widgets — with a clear fallback to the current date if no input is supplied.</w:t>
      </w:r>
    </w:p>
    <w:p>
      <w:pPr>
        <w:pStyle w:val="Heading1"/>
      </w:pPr>
      <w:r>
        <w:t>8. Resilience: Idempotency, Validation, Atomicity, and Failure Handling</w:t>
      </w:r>
    </w:p>
    <w:p>
      <w:pPr>
        <w:pStyle w:val="Heading2"/>
      </w:pPr>
      <w:r>
        <w:t>8.1 Idempotency</w:t>
      </w:r>
    </w:p>
    <w:p>
      <w:pPr>
        <w:spacing w:after="160"/>
      </w:pPr>
      <w:r>
        <w:rPr>
          <w:i w:val="0"/>
          <w:sz w:val="22"/>
        </w:rPr>
        <w:t>Every bronze and silver write uses MERGE on a natural key instead of append, meaning the same notebook can be re-run any number of times without producing duplicate rows. This was verified directly by running the ingestion notebook twice in succession and confirming the row count did not change on the second run.</w:t>
      </w:r>
    </w:p>
    <w:p>
      <w:pPr>
        <w:pStyle w:val="Heading2"/>
      </w:pPr>
      <w:r>
        <w:t>8.2 Data Validation</w:t>
      </w:r>
    </w:p>
    <w:p>
      <w:pPr>
        <w:spacing w:after="160"/>
      </w:pPr>
      <w:r>
        <w:rPr>
          <w:i w:val="0"/>
          <w:sz w:val="22"/>
        </w:rPr>
        <w:t>A validation gate checks for null primary keys, duplicate IDs, missing titles, out-of-range abstract lengths, and schema drift before allowing data to flow from bronze into silver. Validation failures halt the pipeline rather than allowing bad data to propagate, and results are logged to the ingestion_audit table.</w:t>
      </w:r>
    </w:p>
    <w:p>
      <w:pPr>
        <w:pStyle w:val="Heading2"/>
      </w:pPr>
      <w:r>
        <w:t>8.3 Atomicity and Rollback</w:t>
      </w:r>
    </w:p>
    <w:p>
      <w:pPr>
        <w:spacing w:after="160"/>
      </w:pPr>
      <w:r>
        <w:rPr>
          <w:i w:val="0"/>
          <w:sz w:val="22"/>
        </w:rPr>
        <w:t>Every table in this project uses Delta Lake (USING DELTA), which provides ACID transaction guarantees natively. Every write is recorded as a discrete, versioned commit visible via DESCRIBE HISTORY, and any version can be restored using RESTORE TABLE ... TO VERSION AS OF. This was demonstrated by deliberately injecting a malformed MERGE statement (referencing a nonexistent column) and confirming that the table's row count and version number remained completely unchanged after the failure — proving the failed transaction left no partial data behind.</w:t>
      </w:r>
    </w:p>
    <w:p>
      <w:pPr>
        <w:pStyle w:val="Heading2"/>
      </w:pPr>
      <w:r>
        <w:t>8.4 Failure Handling in Practice</w:t>
      </w:r>
    </w:p>
    <w:p>
      <w:pPr>
        <w:spacing w:after="160"/>
      </w:pPr>
      <w:r>
        <w:rPr>
          <w:i w:val="0"/>
          <w:sz w:val="22"/>
        </w:rPr>
        <w:t>The pipeline encountered and gracefully handled several real (not simulated) external failures during development: arXiv API HTTP 429 rate-limiting (detected via status code, triggers a backoff-and-abort rather than an infinite retry loop), malformed/empty XML responses (caught with a try/except around the parser rather than crashing the notebook), and arXiv's undocumented pagination ceiling of approximately 10 pages (10,000 records) per query session, which the pipeline detects by checking for a shrinking result-page size and stops cleanly instead of ingesting corrupted data.</w:t>
      </w:r>
    </w:p>
    <w:p>
      <w:pPr>
        <w:spacing w:after="160"/>
      </w:pPr>
      <w:r>
        <w:rPr>
          <w:i w:val="0"/>
          <w:sz w:val="22"/>
        </w:rPr>
        <w:t>On the topic of Change Data Capture: given that Databricks Free Edition does not provide a managed Kafka service, CDC concepts were demonstrated using Delta Lake's native Change Data Feed (table_changes()) rather than a message broker — a legitimate, fully-native alternative that surfaces every insert/update/delete as its own row without requiring external streaming infrastructure.</w:t>
      </w:r>
    </w:p>
    <w:p>
      <w:pPr>
        <w:pStyle w:val="Heading1"/>
      </w:pPr>
      <w:r>
        <w:t>9. Analytics Dashboard</w:t>
      </w:r>
    </w:p>
    <w:p>
      <w:pPr>
        <w:spacing w:after="160"/>
      </w:pPr>
      <w:r>
        <w:rPr>
          <w:i w:val="0"/>
          <w:sz w:val="22"/>
        </w:rPr>
        <w:t>A Databricks SQL (Lakeview) dashboard, 'Research Publication Analytics', was built directly on top of the gold-layer fact and dimension tables. It uses CUBE and ROLLUP SQL to produce subtotal/grand-total analytical views, and includes a global category filter that cascades across every visualization sharing that field.</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3: Dashboard overview — total papers, category distribution, and papers-by-year</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4: Publication trend over time, driven by fact_topic_growth</w:t>
      </w:r>
    </w:p>
    <w:p>
      <w:pPr>
        <w:spacing w:after="160"/>
      </w:pPr>
      <w:r>
        <w:rPr>
          <w:i w:val="0"/>
          <w:sz w:val="22"/>
        </w:rPr>
        <w:t>Dashboard components include: total papers published, average papers per period, a category-distribution bar chart, a papers-by-year bar chart, a monthly publication trend line, and a filterable category/time-period selector. A second dashboard page ('Paper Explorer') supports looking up an individual paper by ID or fuzzy title search and surfacing its full detail — authors, abstract, PDF/image statistics, and related papers by the same authors or topic.</w:t>
      </w:r>
    </w:p>
    <w:p>
      <w:pPr>
        <w:pStyle w:val="Heading1"/>
      </w:pPr>
      <w:r>
        <w:t>10. Pipeline Execution Evidence</w:t>
      </w:r>
    </w:p>
    <w:p>
      <w:pPr>
        <w:spacing w:after="160"/>
      </w:pPr>
      <w:r>
        <w:rPr>
          <w:i w:val="0"/>
          <w:sz w:val="22"/>
        </w:rPr>
        <w:t>The screenshots below show the bronze → silver → gold pipeline executing successfully through Databricks Workflows, both as individual layer jobs and via the top-level orchestrator.</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5: silver_pipeline job run — 06_transform_papers through 10_extract_image_metadata executing in sequence</w:t>
      </w:r>
    </w:p>
    <w:tbl>
      <w:tblPr>
        <w:tblW w:type="auto" w:w="0"/>
        <w:jc w:val="center"/>
        <w:tblLook w:firstColumn="1" w:firstRow="1" w:lastColumn="0" w:lastRow="0" w:noHBand="0" w:noVBand="1" w:val="04A0"/>
      </w:tblPr>
      <w:tblGrid>
        <w:gridCol w:w="9298"/>
      </w:tblGrid>
      <w:tr>
        <w:trPr>
          <w:trHeight w:val="3402"/>
        </w:trPr>
        <w:tc>
          <w:tcPr>
            <w:tcW w:type="dxa" w:w="9298"/>
            <w:shd w:val="clear" w:color="auto" w:fill="F2F2F2"/>
            <w:vAlign w:val="center"/>
            <w:tcBorders>
              <w:top w:val="single" w:sz="8" w:color="BFBFBF"/>
              <w:left w:val="single" w:sz="8" w:color="BFBFBF"/>
              <w:bottom w:val="single" w:sz="8" w:color="BFBFBF"/>
              <w:right w:val="single" w:sz="8" w:color="BFBFBF"/>
            </w:tcBorders>
          </w:tcPr>
          <w:p>
            <w:pPr>
              <w:jc w:val="center"/>
            </w:pPr>
            <w:r>
              <w:rPr>
                <w:i/>
                <w:color w:val="595959"/>
                <w:sz w:val="20"/>
              </w:rPr>
              <w:t>[ Figure placeholder — insert screenshot here ]</w:t>
            </w:r>
          </w:p>
        </w:tc>
      </w:tr>
    </w:tbl>
    <w:p>
      <w:pPr>
        <w:spacing w:after="280"/>
        <w:jc w:val="center"/>
      </w:pPr>
      <w:r>
        <w:rPr>
          <w:i/>
          <w:color w:val="595959"/>
          <w:sz w:val="20"/>
        </w:rPr>
        <w:t>Figure 6: orchestrator run — bronze_pipeline succeeded, silver_pipeline running, gold_pipeline queued</w:t>
      </w:r>
    </w:p>
    <w:p>
      <w:pPr>
        <w:pStyle w:val="Heading1"/>
      </w:pPr>
      <w:r>
        <w:t>11. Key Technical Learnings</w:t>
      </w:r>
    </w:p>
    <w:p>
      <w:pPr>
        <w:pStyle w:val="ListBullet"/>
        <w:spacing w:after="120"/>
      </w:pPr>
      <w:r>
        <w:rPr>
          <w:sz w:val="22"/>
        </w:rPr>
        <w:t>authors_json is a Python-repr string (single-quoted list), not valid JSON — F.from_json silently returns null for every row; ast.literal_eval via a UDF is required instead.</w:t>
      </w:r>
    </w:p>
    <w:p>
      <w:pPr>
        <w:pStyle w:val="ListBullet"/>
        <w:spacing w:after="120"/>
      </w:pPr>
      <w:r>
        <w:rPr>
          <w:sz w:val="22"/>
        </w:rPr>
        <w:t>A missing comma between adjacent string literals inside .select("a" "b") silently concatenates them into one unresolvable column name — Python does not raise a syntax error for this.</w:t>
      </w:r>
    </w:p>
    <w:p>
      <w:pPr>
        <w:pStyle w:val="ListBullet"/>
        <w:spacing w:after="120"/>
      </w:pPr>
      <w:r>
        <w:rPr>
          <w:sz w:val="22"/>
        </w:rPr>
        <w:t>arXiv's API reliably supports roughly 10 pages (10,000 results) per query session before silently degrading rather than erroring — a safety check on shrinking page size is required to detect this and stop gracefully.</w:t>
      </w:r>
    </w:p>
    <w:p>
      <w:pPr>
        <w:pStyle w:val="ListBullet"/>
        <w:spacing w:after="120"/>
      </w:pPr>
      <w:r>
        <w:rPr>
          <w:sz w:val="22"/>
        </w:rPr>
        <w:t>Gold-layer fact tables must be built strictly after their dimension tables are populated in the same run, or every foreign key resolves to null.</w:t>
      </w:r>
    </w:p>
    <w:p>
      <w:pPr>
        <w:pStyle w:val="ListBullet"/>
        <w:spacing w:after="120"/>
      </w:pPr>
      <w:r>
        <w:rPr>
          <w:sz w:val="22"/>
        </w:rPr>
        <w:t>Referencing a bronze/silver DataFrame's column after it has already been through a .select() elsewhere breaks column resolution; the column must be included in the original .select() instead.</w:t>
      </w:r>
    </w:p>
    <w:p>
      <w:pPr>
        <w:pStyle w:val="ListBullet"/>
        <w:spacing w:after="120"/>
      </w:pPr>
      <w:r>
        <w:rPr>
          <w:sz w:val="22"/>
        </w:rPr>
        <w:t>Setting a watermark to the current run timestamp before comparing it against freshly-fetched data can make every fetched record appear 'too old', silently filtering out an entire batch.</w:t>
      </w:r>
    </w:p>
    <w:p>
      <w:pPr>
        <w:pStyle w:val="Heading1"/>
      </w:pPr>
      <w:r>
        <w:t>12. Conclusion</w:t>
      </w:r>
    </w:p>
    <w:p>
      <w:pPr>
        <w:spacing w:after="160"/>
      </w:pPr>
      <w:r>
        <w:rPr>
          <w:i w:val="0"/>
          <w:sz w:val="22"/>
        </w:rPr>
        <w:t>This project delivers a working, resilient, end-to-end lakehouse pipeline for research paper analytics — spanning multi-source extraction, cleaning and dimensional transformation, a queryable star/snowflake gold schema, automated orchestration with dynamic runtime parameters, and a live analytics dashboard, all built natively on Databricks Free Edition using Unity Catalog and Delta Lake without requiring any external paid infrastructure.</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Research Lakehouse — Project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