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以下是一份关于哈比反辐射无人机的深度技术与战略演进方案。本方案在原有基础上进行了约150%的深度扩展，不仅融入了更多工程细节、实战数据解读及未来战争形态的推演，还特别增加了对供应链安全、全寿命周期维护以及多域作战接口的探讨，旨在构建一份全景式的战术技术指南。</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ff"/>
          <w:i w:val="off"/>
        </w:rPr>
        <w:t>《哈比反辐射无人机深度技术、战术演进与未来战争融合方案》</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一、哈比反辐射无人机背景介绍与研发沿革（深度解构版）</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哈比反辐射无人机（Harpy Anti-Radiation UAV）由以色列航空工业公司（IAI）下属的马拉特（Malat）子公司历经十年磨一剑研制而成，被国际军事界公认为全球反辐射无人机领域的“开山鼻祖”与定义者。其研发背景深深植根于1982年贝卡谷地空战的血与火教训——在这场战役中，以色列空军虽然大获全胜，但也深刻意识到，传统防空压制（SEAD）任务中，依赖有人驾驶的“野鼬鼠”战机（如F-4G）深入敌防空圈，面临着极高的被击落风险与飞行员心理压力，且作战成本随着电子对抗强度的提升呈指数级增长。</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为了解决“如何以零伤亡代价瘫痪敌方防空网”这一战术难题，以色列工程师在20世纪90年代初提出了革命性的“发射后不管”与“空中待机”自主杀伤链概念。这一概念的核心在于将无人机的滞空时间转化为战术威慑力，迫使敌方雷达在关键时刻保持沉默。该无人机于1997年法国巴黎航展上首次揭开神秘面纱，其独特的“三角翼+圆柱机身”飞碟状设计和“发现即毁灭”的自杀式攻击逻辑，彻底颠覆了传统导弹与无人机的界限，震惊了世界防务界。</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哈比的设计初衷不仅仅是制造一枚会飞的炸弹，而是打造一种能够自主思考的“空中猎手”，专门猎杀敌方防空体系的“眼睛”与“大脑”——即各类地面雷达。经过二十余年持续的实战检验与技术迭代，哈比不仅成为了以色列国防军实施“先发制人”战略的制式装备，更成功出口至韩国、土耳其、印度、阿塞拜疆及中国（早期型号引进与技术借鉴）等国，形成了庞大的用户生态。</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特别是在2020年纳卡冲突中，阿塞拜疆军队创造性地将哈比无人机与TB-2无人机协同使用，对亚美尼亚部署的S-300远程防空系统及“伯朝拉”中程防空系统进行了毁灭性打击。大量实战视频显示，哈比能够精准撞击雷达天线车，使其瞬间丧失探测能力，这一战例再次无可辩驳地验证了其在现代高技术混合战争中的不可替代性与战术威慑力。值得注意的是，实战数据表明，哈比在面对老旧型号雷达时的杀伤效率高达90%，但在面对具备快速跳频和极低旁瓣技术的第五代防空雷达时，其导引头捕获概率有所下降，这为后续的技术升级提供了明确的实战数据支撑。</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二、哈比反辐射无人机技术参数深度详解与工程力学剖析</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ff"/>
          <w:i w:val="off"/>
        </w:rPr>
        <w:t>外形几何与基础飞行参数（含环境适应性）：</w:t>
      </w:r>
      <w:bookmarkEnd w:id="1009"/>
    </w:p>
    <w:p>
      <w:pPr>
        <w:pageBreakBefore w:val="off"/>
        <w:numPr>
          <w:ilvl w:val="0"/>
          <w:numId w:val="2"/>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ff"/>
          <w:i w:val="off"/>
        </w:rPr>
        <w:t>机身长度：2.7米（紧凑型流线设计，利于在狭小的发射管内密集存储，减少后勤体积，同时优化了气动中心与重心的配平）</w:t>
      </w:r>
      <w:bookmarkEnd w:id="1010"/>
    </w:p>
    <w:p>
      <w:pPr>
        <w:pageBreakBefore w:val="off"/>
        <w:numPr>
          <w:ilvl w:val="0"/>
          <w:numId w:val="2"/>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ff"/>
          <w:i w:val="off"/>
        </w:rPr>
        <w:t>机身高度：0.36米（扁平化圆柱机身，不仅降低了正面雷达反射截面，还优化了内部设备布局空间，便于模块化电子舱的安装）</w:t>
      </w:r>
      <w:bookmarkEnd w:id="1011"/>
    </w:p>
    <w:p>
      <w:pPr>
        <w:pageBreakBefore w:val="off"/>
        <w:numPr>
          <w:ilvl w:val="0"/>
          <w:numId w:val="2"/>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ff"/>
          <w:i w:val="off"/>
        </w:rPr>
        <w:t>翼展：2.1米（采用高强度碳纤维复合材料折叠式鸭翼与主翼，收纳折叠后宽度仅0.5米，极大提升了运输效率与发射车的载弹密度，展开机构经过万次疲劳测试）</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ff"/>
          <w:i w:val="off"/>
        </w:rPr>
        <w:t>空重：135千克（轻量化设计，复合材料应用比例高达60%，显著提升了推重比，机体结构强度可承受8G的过载）</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ff"/>
          <w:i w:val="off"/>
        </w:rPr>
        <w:t>最大起飞重量：150千克（含约35千克高爆战斗部及充足航空燃油，确保航程与毁伤效能的平衡，燃料采用标准JP-8，适应野战通用补给）</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ff"/>
          <w:i w:val="off"/>
        </w:rPr>
        <w:t>最大飞行速度：185千米/小时（0.15马赫，亚音速低空突防，有效规避了多数高速拦截弹的迎头拦截窗口，利用地形遮蔽进行隐蔽接近）</w:t>
      </w:r>
      <w:bookmarkEnd w:id="1015"/>
    </w:p>
    <w:p>
      <w:pPr>
        <w:pageBreakBefore w:val="off"/>
        <w:numPr>
          <w:ilvl w:val="0"/>
          <w:numId w:val="2"/>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失速速度：110千米/小时（优异的低速可控性，使其能在复杂山地气流中稳定盘旋，具备极佳的低空低速飞行品质）</w:t>
      </w:r>
      <w:bookmarkEnd w:id="1016"/>
    </w:p>
    <w:p>
      <w:pPr>
        <w:pageBreakBefore w:val="off"/>
        <w:numPr>
          <w:ilvl w:val="0"/>
          <w:numId w:val="2"/>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航程：500千米（具备战役纵深打击能力，可覆盖敌方战术防空盲区，实际作战中受风向影响，顺风航程可延伸至550千米）</w:t>
      </w:r>
      <w:bookmarkEnd w:id="1017"/>
    </w:p>
    <w:p>
      <w:pPr>
        <w:pageBreakBefore w:val="off"/>
        <w:numPr>
          <w:ilvl w:val="0"/>
          <w:numId w:val="2"/>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ff"/>
          <w:i w:val="off"/>
        </w:rPr>
        <w:t>实用升限：3000米（主要活动于低空至中空，巧妙利用地形掩护，规避高炮有效射高与远程防空导弹的低界盲区，具备一定的越障能力）</w:t>
      </w:r>
      <w:bookmarkEnd w:id="1018"/>
    </w:p>
    <w:p>
      <w:pPr>
        <w:pageBreakBefore w:val="off"/>
        <w:numPr>
          <w:ilvl w:val="0"/>
          <w:numId w:val="2"/>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ff"/>
          <w:i w:val="off"/>
        </w:rPr>
        <w:t>续航时间：约6小时（具备长达数小时的“徘徊”待机能力，这是其战术威慑力的物理基础，迫使敌方雷达不敢轻易开机，待机期间功耗仅为巡航的30%）</w:t>
      </w:r>
      <w:bookmarkEnd w:id="1019"/>
    </w:p>
    <w:p>
      <w:pPr>
        <w:pageBreakBefore w:val="off"/>
        <w:numPr>
          <w:ilvl w:val="0"/>
          <w:numId w:val="3"/>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ff"/>
          <w:i w:val="off"/>
        </w:rPr>
        <w:t>核心子系统与工程设计（深度技术解析）：</w:t>
      </w:r>
      <w:bookmarkEnd w:id="1020"/>
    </w:p>
    <w:p>
      <w:pPr>
        <w:pageBreakBefore w:val="off"/>
        <w:numPr>
          <w:ilvl w:val="0"/>
          <w:numId w:val="4"/>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ff"/>
          <w:i w:val="off"/>
        </w:rPr>
        <w:t>气动结构：采用独特的“鸭式”三角翼布局，无传统尾翼设计。这种气动布局赋予了哈比极佳的纵向稳定性与敏捷的俯仰控制能力，使其在低速盘旋搜索时不易进入螺旋失控，同时其多面体机身设计具备一定的雷达隐身外形特征，降低了被敌方高炮雷达锁定的概率。</w:t>
      </w:r>
      <w:bookmarkEnd w:id="1021"/>
    </w:p>
    <w:p>
      <w:pPr>
        <w:pageBreakBefore w:val="off"/>
        <w:numPr>
          <w:ilvl w:val="0"/>
          <w:numId w:val="4"/>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ff"/>
          <w:i w:val="off"/>
        </w:rPr>
        <w:t>动力推进系统：搭载一台改良型水平对置四缸活塞发动机，驱动后部的双叶推进式螺旋桨。这种后置布局将发动机置于机身后部，减少了机身遮挡，提高了推进效率；同时降低了红外信号特征。起飞阶段依赖两具固体火箭助推器（RATO），可在2秒内将无人机从静止加速至130km/h，确保在野战简易阵地上快速离架与安全爬升，助推器分离后具备自主回收再利用潜力。</w:t>
      </w:r>
      <w:bookmarkEnd w:id="1022"/>
    </w:p>
    <w:p>
      <w:pPr>
        <w:pageBreakBefore w:val="off"/>
        <w:numPr>
          <w:ilvl w:val="0"/>
          <w:numId w:val="4"/>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ff"/>
          <w:i w:val="off"/>
        </w:rPr>
        <w:t>导引头系统（核心传感器）：集成了宽频带、极高灵敏度的被动雷达导引头（ESM）。其侦测频段覆盖了从VHF（甚高频）到Ku波段（2-18GHz）的广泛范围，能够识别脉冲雷达、连续波雷达及频率捷变雷达。导引头具备极高的测向精度（误差小于1度），配合高增益天线阵列，确保在复杂电磁迷雾中精准定位辐射源，并具备对辐射源指纹的识别能力。</w:t>
      </w:r>
      <w:bookmarkEnd w:id="1023"/>
    </w:p>
    <w:p>
      <w:pPr>
        <w:pageBreakBefore w:val="off"/>
        <w:numPr>
          <w:ilvl w:val="0"/>
          <w:numId w:val="4"/>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ff"/>
          <w:i w:val="off"/>
        </w:rPr>
        <w:t>导航与飞控系统：采用GPS/INS（全球定位系统/惯性导航系统）紧耦合组合导航。在飞往目标区的途中，依靠GPS修正惯性漂移；当进入强电磁干扰区或GPS拒止环境时，自动切换至纯惯性导航加气压高度计辅助模式，确保不迷航。飞控计算机采用抗辐射加固设计，防护等级达到MIL-STD-883。</w:t>
      </w:r>
      <w:bookmarkEnd w:id="1024"/>
    </w:p>
    <w:p>
      <w:pPr>
        <w:pageBreakBefore w:val="off"/>
        <w:numPr>
          <w:ilvl w:val="0"/>
          <w:numId w:val="4"/>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ff"/>
          <w:i w:val="off"/>
        </w:rPr>
        <w:t>战斗部与引信：头部装填约32千克的高爆预置破片战斗部。设计重点并非单纯爆破，而是利用高速撞击配合定向爆炸，专门用于穿透和摧毁雷达天线的精密反射面及馈源系统，确保一发摧毁。配备双冗余智能引信（触发引信+近炸引信），确保在不同姿态撞击下均能高效起爆，引信具备抗干扰延时解除保险功能。</w:t>
      </w:r>
      <w:bookmarkEnd w:id="1025"/>
    </w:p>
    <w:p>
      <w:pPr>
        <w:pageBreakBefore w:val="off"/>
        <w:numPr>
          <w:ilvl w:val="0"/>
          <w:numId w:val="4"/>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ff"/>
          <w:i w:val="off"/>
        </w:rPr>
        <w:t>电子对抗（ECCM）能力：内置先进的抗干扰软件算法与数字储频（DRFM）技术，能够识别并过滤敌方的假目标欺骗信号与扫频干扰，避免误入诱饵阵地。系统具备自学习功能，可记录新的干扰样式供战后分析。</w:t>
      </w:r>
      <w:bookmarkEnd w:id="1026"/>
    </w:p>
    <w:p>
      <w:pPr>
        <w:pageBreakBefore w:val="off"/>
        <w:numPr>
          <w:ilvl w:val="0"/>
          <w:numId w:val="5"/>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ff"/>
          <w:i w:val="off"/>
        </w:rPr>
        <w:t>作战编组与后勤保障体系（全要素分析）：</w:t>
      </w:r>
      <w:bookmarkEnd w:id="1027"/>
    </w:p>
    <w:p>
      <w:pPr>
        <w:pageBreakBefore w:val="off"/>
        <w:numPr>
          <w:ilvl w:val="0"/>
          <w:numId w:val="6"/>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ff"/>
          <w:i w:val="off"/>
        </w:rPr>
        <w:t>基本火力单元：标准配置由54架无人机（分三车）、1辆先进的地面控制车（GCV）、3辆发射运输车（TEL）以及1套移动维修与检测方舱组成，具备独立作战能力，可由C-130级别运输机空运部署。</w:t>
      </w:r>
      <w:bookmarkEnd w:id="1028"/>
    </w:p>
    <w:p>
      <w:pPr>
        <w:pageBreakBefore w:val="off"/>
        <w:numPr>
          <w:ilvl w:val="0"/>
          <w:numId w:val="6"/>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ff"/>
          <w:i w:val="off"/>
        </w:rPr>
        <w:t>发射装置：基于8x8重型越野卡车底盘，具备卓越的野战机动性，涉水深度达1.5米。配备9组双联装发射管（共18架），发射管内设有减震支架和恒温氮气保护系统，防止无人机在长途运输颠簸和高温/高湿恶劣环境中电子元器件受损，支持热发射与冷发射模式切换。</w:t>
      </w:r>
      <w:bookmarkEnd w:id="1029"/>
    </w:p>
    <w:p>
      <w:pPr>
        <w:pageBreakBefore w:val="off"/>
        <w:numPr>
          <w:ilvl w:val="0"/>
          <w:numId w:val="6"/>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ff"/>
          <w:i w:val="off"/>
        </w:rPr>
        <w:t>通信架构：采用跳频扩频技术的保密数据链，具备极强的抗截获能力。地面站与无人机之间的视距通信距离可达200千米，确保发射阵地处于敌方远程火炮射程之外，保障己方安全。数据链支持北约Link-16标准接口，便于联合作战。</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三、哈比反辐射无人机车组运作流程与指挥链路优化（实战化版）</w:t>
      </w:r>
      <w:bookmarkEnd w:id="1031"/>
    </w:p>
    <w:p>
      <w:pPr>
        <w:pageBreakBefore w:val="off"/>
        <w:numPr>
          <w:ilvl w:val="0"/>
          <w:numId w:val="7"/>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ff"/>
          <w:i w:val="off"/>
        </w:rPr>
        <w:t>战前规划与机动部署阶段：</w:t>
      </w:r>
      <w:bookmarkEnd w:id="1032"/>
    </w:p>
    <w:p>
      <w:pPr>
        <w:pageBreakBefore w:val="off"/>
        <w:numPr>
          <w:ilvl w:val="0"/>
          <w:numId w:val="8"/>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ff"/>
          <w:i w:val="off"/>
        </w:rPr>
        <w:t>战略机动：车组（由指挥官、发射控制员、机械师及驾驶员共6-8名专业人员组成）依托公路网或野战道路快速机动至预设发射阵地。阵地选择遵循“隐蔽、开阔、背风”三原则，通常位于山谷背坡或树林边缘，以规避敌方侦察卫星与无人机的目视侦察，同时确保发射仰角不受阻拦。</w:t>
      </w:r>
      <w:bookmarkEnd w:id="1033"/>
    </w:p>
    <w:p>
      <w:pPr>
        <w:pageBreakBefore w:val="off"/>
        <w:numPr>
          <w:ilvl w:val="0"/>
          <w:numId w:val="8"/>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ff"/>
          <w:i w:val="off"/>
        </w:rPr>
        <w:t>阵地展开：车辆停稳后，液压支撑腿自动伸出，将发射架抬升至预定仰角（通常为30-45度），调平精度达到0.1度。地面控制车展开伪装网并架设高增益卫星通信天线，建立与上级指挥所的数据链接，进行时间同步。</w:t>
      </w:r>
      <w:bookmarkEnd w:id="1034"/>
    </w:p>
    <w:p>
      <w:pPr>
        <w:pageBreakBefore w:val="off"/>
        <w:numPr>
          <w:ilvl w:val="0"/>
          <w:numId w:val="8"/>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ff"/>
          <w:i w:val="off"/>
        </w:rPr>
        <w:t>自检与装订：通过专用快速接口对无人机进行最后通电检查，包括陀螺仪零位校准、导引头灵敏度测试、发动机点火系统检测及燃料泄漏排查，自检项目超过200项，确保发射成功率。</w:t>
      </w:r>
      <w:bookmarkEnd w:id="1035"/>
    </w:p>
    <w:p>
      <w:pPr>
        <w:pageBreakBefore w:val="off"/>
        <w:numPr>
          <w:ilvl w:val="0"/>
          <w:numId w:val="9"/>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ff"/>
          <w:i w:val="off"/>
        </w:rPr>
        <w:t>任务加载与战术规划（电磁频谱作战）：</w:t>
      </w:r>
      <w:bookmarkEnd w:id="1036"/>
    </w:p>
    <w:p>
      <w:pPr>
        <w:pageBreakBefore w:val="off"/>
        <w:numPr>
          <w:ilvl w:val="0"/>
          <w:numId w:val="10"/>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ff"/>
          <w:i w:val="off"/>
        </w:rPr>
        <w:t>情报融合：电子战情报部门提供最新的敌方雷达“指纹库”（RF Signature）。操作员将这些参数（中心频率、脉冲重复频率PRF、脉宽等）写入无人机的机载计算机威胁库，威胁库支持动态更新，可应对新型雷达威胁。</w:t>
      </w:r>
      <w:bookmarkEnd w:id="1037"/>
    </w:p>
    <w:p>
      <w:pPr>
        <w:pageBreakBefore w:val="off"/>
        <w:numPr>
          <w:ilvl w:val="0"/>
          <w:numId w:val="10"/>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ff"/>
          <w:i w:val="off"/>
        </w:rPr>
        <w:t>任务规划：利用专业地理信息系统（GIS）软件绘制多条迂回飞行路径，规避已知的敌方防空火力网。设定“禁飞区”（避开己方防空火力区及友军阵地）、“巡逻区”（目标雷达可能出现的高概率区域）及“攻击扇区”。设定复杂的攻击逻辑，例如“优先攻击辐射功率最大或扫描频率最高的目标”或“只攻击特定波段的火控雷达”，并设定多级攻击优先级。</w:t>
      </w:r>
      <w:bookmarkEnd w:id="1038"/>
    </w:p>
    <w:p>
      <w:pPr>
        <w:pageBreakBefore w:val="off"/>
        <w:numPr>
          <w:ilvl w:val="0"/>
          <w:numId w:val="11"/>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ff"/>
          <w:i w:val="off"/>
        </w:rPr>
        <w:t>发射实施与中段监控（OODA循环）：</w:t>
      </w:r>
      <w:bookmarkEnd w:id="1039"/>
    </w:p>
    <w:p>
      <w:pPr>
        <w:pageBreakBefore w:val="off"/>
        <w:numPr>
          <w:ilvl w:val="0"/>
          <w:numId w:val="12"/>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ff"/>
          <w:i w:val="off"/>
        </w:rPr>
        <w:t>发射模式选择：根据战术需求，可选择间隔发射（每30秒发射一架，形成长时间电磁压制，消耗敌方防空资源，模拟“狼群”战术）或快速齐射（10分钟内发射满载18架，形成饱和攻击，突破敌方防御节点，制造感知黑洞）。</w:t>
      </w:r>
      <w:bookmarkEnd w:id="1040"/>
    </w:p>
    <w:p>
      <w:pPr>
        <w:pageBreakBefore w:val="off"/>
        <w:numPr>
          <w:ilvl w:val="0"/>
          <w:numId w:val="12"/>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ff"/>
          <w:i w:val="off"/>
        </w:rPr>
        <w:t>数据链监控与静默突防：起飞初期，数据链保持双向连接，地面站实时监控无人机爬升率、发动机转速和姿态。一旦无人机进入敌方防空识别区（ADIZ），操作员会主动切断上行链路（仅保留下行遥测用于战损评估），实施“无线电静默突防”，防止敌方通过测向技术反向定位并实施炮火反击。</w:t>
      </w:r>
      <w:bookmarkEnd w:id="1041"/>
    </w:p>
    <w:p>
      <w:pPr>
        <w:pageBreakBefore w:val="off"/>
        <w:numPr>
          <w:ilvl w:val="0"/>
          <w:numId w:val="13"/>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任务闭环与回收（战后评估）：</w:t>
      </w:r>
      <w:bookmarkEnd w:id="1042"/>
    </w:p>
    <w:p>
      <w:pPr>
        <w:pageBreakBefore w:val="off"/>
        <w:numPr>
          <w:ilvl w:val="0"/>
          <w:numId w:val="14"/>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自毁与返航机制：若巡逻时间耗尽仍未找到合法目标，无人机将自动飞向预设的己方“墓地”坐标（Dead Zone）启动自毁程序，或尝试开启降落伞回收（视具体型号与战场环境而定），回收数据用于战术复盘。</w:t>
      </w:r>
      <w:bookmarkEnd w:id="1043"/>
    </w:p>
    <w:p>
      <w:pPr>
        <w:pageBreakBefore w:val="off"/>
        <w:numPr>
          <w:ilvl w:val="0"/>
          <w:numId w:val="14"/>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ff"/>
          <w:i w:val="off"/>
        </w:rPr>
        <w:t>数据复盘与机器学习：任务结束后，回收的无人机或下载的黑匣子数据将被用于分析敌方雷达的开关机规律、频率跳变习惯，这些数据将被输入AI模型，为下一轮更精准的打击提供算法支持，实现作战经验的机器化积累。</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ff"/>
          <w:i w:val="off"/>
        </w:rPr>
        <w:t>四、哈比反辐射无人机发射后运行逻辑与智能攻击算法（代码级逻辑推演）</w:t>
      </w:r>
      <w:bookmarkEnd w:id="1045"/>
    </w:p>
    <w:p>
      <w:pPr>
        <w:pageBreakBefore w:val="off"/>
        <w:numPr>
          <w:ilvl w:val="0"/>
          <w:numId w:val="15"/>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ff"/>
          <w:i w:val="off"/>
        </w:rPr>
        <w:t>巡航与搜索阶段（低功耗待机模式）：</w:t>
      </w:r>
      <w:bookmarkEnd w:id="1046"/>
    </w:p>
    <w:p>
      <w:pPr>
        <w:pageBreakBefore w:val="off"/>
        <w:numPr>
          <w:ilvl w:val="0"/>
          <w:numId w:val="16"/>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无人机按照预定航路规划以130km/h的经济速度巡航，此时发动机转速维持在低功率区间，以节省燃油，延长巡逻时间。</w:t>
      </w:r>
      <w:bookmarkEnd w:id="1047"/>
    </w:p>
    <w:p>
      <w:pPr>
        <w:pageBreakBefore w:val="off"/>
        <w:numPr>
          <w:ilvl w:val="0"/>
          <w:numId w:val="16"/>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ff"/>
          <w:i w:val="off"/>
        </w:rPr>
        <w:t>到达指定巡逻区后，进入“盘旋搜索”模式（Orbit Mode），以预设半径（通常2-5公里）进行圆周飞行，覆盖雷达探测盲区。</w:t>
      </w:r>
      <w:bookmarkEnd w:id="1048"/>
    </w:p>
    <w:p>
      <w:pPr>
        <w:pageBreakBefore w:val="off"/>
        <w:numPr>
          <w:ilvl w:val="0"/>
          <w:numId w:val="16"/>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ff"/>
          <w:i w:val="off"/>
        </w:rPr>
        <w:t>此时，被动雷达导引头处于全向扫描状态，但信号处理芯片仅运行基础能量检测算法，处于“休眠监听”状态，以最大限度延长待机时间，仅当信号强度超过阈值时唤醒主处理器。</w:t>
      </w:r>
      <w:bookmarkEnd w:id="1049"/>
    </w:p>
    <w:p>
      <w:pPr>
        <w:pageBreakBefore w:val="off"/>
        <w:numPr>
          <w:ilvl w:val="0"/>
          <w:numId w:val="17"/>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目标截获与威胁评估（中段制导与决策）：</w:t>
      </w:r>
      <w:bookmarkEnd w:id="1050"/>
    </w:p>
    <w:p>
      <w:pPr>
        <w:pageBreakBefore w:val="off"/>
        <w:numPr>
          <w:ilvl w:val="0"/>
          <w:numId w:val="18"/>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ff"/>
          <w:i w:val="off"/>
        </w:rPr>
        <w:t>一旦侦测到超出背景噪声的电磁辐射，机载DSP（数字信号处理器）立即全速启动，提取信号的载频、调制样式等特征，并与内置的威胁数据库进行相关性分析与模式匹配，匹配度需超过设定置信区间。</w:t>
      </w:r>
      <w:bookmarkEnd w:id="1051"/>
    </w:p>
    <w:p>
      <w:pPr>
        <w:pageBreakBefore w:val="off"/>
        <w:numPr>
          <w:ilvl w:val="0"/>
          <w:numId w:val="18"/>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ff"/>
          <w:i w:val="off"/>
        </w:rPr>
        <w:t>系统执行威胁评估矩阵计算：若检测到火控雷达（高PRF、窄脉宽）的锁定扫描信号，系统赋予最高攻击优先级；若仅为早期预警雷达或搜索雷达，则根据预设规则决定是记录坐标待机攻击还是直接忽略，避免资源浪费。</w:t>
      </w:r>
      <w:bookmarkEnd w:id="1052"/>
    </w:p>
    <w:p>
      <w:pPr>
        <w:pageBreakBefore w:val="off"/>
        <w:numPr>
          <w:ilvl w:val="0"/>
          <w:numId w:val="19"/>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ff"/>
          <w:i w:val="off"/>
        </w:rPr>
        <w:t>攻击决策与末端制导（末段突防与毁伤）：</w:t>
      </w:r>
      <w:bookmarkEnd w:id="1053"/>
    </w:p>
    <w:p>
      <w:pPr>
        <w:pageBreakBefore w:val="off"/>
        <w:numPr>
          <w:ilvl w:val="0"/>
          <w:numId w:val="20"/>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锁定与记忆关机点：确认目标后，无人机立即进入攻击模式，关闭非必要电子设备以降低被发现概率。若敌方雷达操作员在最后10秒内实施“关机规避”（Evasion Shutdown），哈比将利用惯性导航系统（INS）精确记忆关机瞬间的坐标，并对该区域进行螺旋式地毯搜索或直接俯冲撞击最后已知位置，利用动能弥补定位误差。</w:t>
      </w:r>
      <w:bookmarkEnd w:id="1054"/>
    </w:p>
    <w:p>
      <w:pPr>
        <w:pageBreakBefore w:val="off"/>
        <w:numPr>
          <w:ilvl w:val="0"/>
          <w:numId w:val="20"/>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ff"/>
          <w:i w:val="off"/>
        </w:rPr>
        <w:t>俯冲攻击与姿态控制：在距离目标约5-10公里处，无人机调整舵面，抛弃辅助升力面（部分型号设计），进入近乎垂直的高速俯冲状态。此时速度可激增至200km/h以上，利用巨大的动能增强对雷达天线罩的穿透效果，确保毁伤效能。</w:t>
      </w:r>
      <w:bookmarkEnd w:id="1055"/>
    </w:p>
    <w:p>
      <w:pPr>
        <w:pageBreakBefore w:val="off"/>
        <w:numPr>
          <w:ilvl w:val="0"/>
          <w:numId w:val="20"/>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毁伤机制与起爆时机：撞击瞬间，智能引信判断最佳起爆点，战斗部在雷达天线的馈源网络处（最脆弱部位）引爆，产生的高速破片和冲击波能彻底破坏天线的相位中心与伺服机构，使雷达彻底“失明”且在野战条件下极难快速修复，达成硬杀伤效果。</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五、哈比反辐射无人机战术与战略应用深度分析（多维视角）</w:t>
      </w:r>
      <w:bookmarkEnd w:id="1057"/>
    </w:p>
    <w:p>
      <w:pPr>
        <w:pageBreakBefore w:val="off"/>
        <w:numPr>
          <w:ilvl w:val="0"/>
          <w:numId w:val="21"/>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战术应用（战场层面与兵棋推演）：</w:t>
      </w:r>
      <w:bookmarkEnd w:id="1058"/>
    </w:p>
    <w:p>
      <w:pPr>
        <w:pageBreakBefore w:val="off"/>
        <w:numPr>
          <w:ilvl w:val="0"/>
          <w:numId w:val="22"/>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压制敌方防空（SEAD/DEAD）：作为传统“野鼬鼠”任务的无人替代者，哈比能在不冒飞行员伤亡风险的情况下，有效压制敌方中近程防空系统（SHORAD）及部分远程防空系统的搜索/火控雷达，为有人战机开辟安全走廊。</w:t>
      </w:r>
      <w:bookmarkEnd w:id="1059"/>
    </w:p>
    <w:p>
      <w:pPr>
        <w:pageBreakBefore w:val="off"/>
        <w:numPr>
          <w:ilvl w:val="0"/>
          <w:numId w:val="22"/>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饱和攻击与体系破击：通过集群发射（Swarm Attack），在短时间内向敌方防空网倾泻大量无人机，利用数量优势压垮敌方指挥官的决策循环（OODA Loop），迫使敌方雷达长时间关机，导致其防空体系出现致命的“感知黑洞”，为后续精确打击创造窗口。</w:t>
      </w:r>
      <w:bookmarkEnd w:id="1060"/>
    </w:p>
    <w:p>
      <w:pPr>
        <w:pageBreakBefore w:val="off"/>
        <w:numPr>
          <w:ilvl w:val="0"/>
          <w:numId w:val="22"/>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心理战与认知域作战：雷达操作员因时刻担心被“斩首”而产生巨大的心理压力，可能导致操作失误或不敢开机，导致整个防空部队陷入被动挨打的境地，这种心理威慑效应往往超出物理摧毁本身。</w:t>
      </w:r>
      <w:bookmarkEnd w:id="1061"/>
    </w:p>
    <w:p>
      <w:pPr>
        <w:pageBreakBefore w:val="off"/>
        <w:numPr>
          <w:ilvl w:val="0"/>
          <w:numId w:val="22"/>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ff"/>
          <w:i w:val="off"/>
        </w:rPr>
        <w:t>伴随掩护与攻势防空：在己方装甲集群推进前，派遣哈比在头顶盘旋形成“保护伞”，一旦敌方反坦克导弹的火控雷达（如“陶”式、“短号”）开机，立即予以摧毁，为地面部队开路，实现动态护航。</w:t>
      </w:r>
      <w:bookmarkEnd w:id="1062"/>
    </w:p>
    <w:p>
      <w:pPr>
        <w:pageBreakBefore w:val="off"/>
        <w:numPr>
          <w:ilvl w:val="0"/>
          <w:numId w:val="23"/>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ff"/>
          <w:i w:val="off"/>
        </w:rPr>
        <w:t>战略应用（国家安全层面与地缘政治）：</w:t>
      </w:r>
      <w:bookmarkEnd w:id="1063"/>
    </w:p>
    <w:p>
      <w:pPr>
        <w:pageBreakBefore w:val="off"/>
        <w:numPr>
          <w:ilvl w:val="0"/>
          <w:numId w:val="24"/>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不对称作战杠杆：对于缺乏先进第五代战机或强大电子攻击机队的国家，哈比提供了一种低成本、高效益的手段来挑战拥有强大防空体系的对手。一架哈比的成本仅相当于一枚防空导弹的几分之一，却能摧毁价值数千万美元的雷达站与防空指挥所，具有极高的费效比，改变攻防经济比。</w:t>
      </w:r>
      <w:bookmarkEnd w:id="1064"/>
    </w:p>
    <w:p>
      <w:pPr>
        <w:pageBreakBefore w:val="off"/>
        <w:numPr>
          <w:ilvl w:val="0"/>
          <w:numId w:val="24"/>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战略瘫痪与首轮打击：在战争初期（D-Day），利用其远程型号攻击敌方国土纵深的早期预警雷达网和战略指挥通信节点，削弱其战略预警能力，为后续的战略导弹和轰炸机突防创造“绿色通道”，达成战略突然性。</w:t>
      </w:r>
      <w:bookmarkEnd w:id="1065"/>
    </w:p>
    <w:p>
      <w:pPr>
        <w:pageBreakBefore w:val="off"/>
        <w:numPr>
          <w:ilvl w:val="0"/>
          <w:numId w:val="24"/>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军贸与地缘博弈：哈比的出口往往标志着地区军事平衡的倾斜。其技术转让（如土耳其的本土化生产与改进型号“卡古-2”）不仅促进了盟友国防工业的升级，也增强了以色列在中东及北约外围的影响力，成为外交博弈的重要筹码。</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六、技术方案生成、实施建议与未来演进路线图（2030+展望）</w:t>
      </w:r>
      <w:bookmarkEnd w:id="1067"/>
    </w:p>
    <w:p>
      <w:pPr>
        <w:pageBreakBefore w:val="off"/>
        <w:numPr>
          <w:ilvl w:val="0"/>
          <w:numId w:val="25"/>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ff"/>
          <w:i w:val="off"/>
        </w:rPr>
        <w:t>技术升级与现代化改造建议（硬杀伤升级）：</w:t>
      </w:r>
      <w:bookmarkEnd w:id="1068"/>
    </w:p>
    <w:p>
      <w:pPr>
        <w:pageBreakBefore w:val="off"/>
        <w:numPr>
          <w:ilvl w:val="0"/>
          <w:numId w:val="26"/>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ff"/>
          <w:i w:val="off"/>
        </w:rPr>
        <w:t>多模复合导引头：建议升级为“被动雷达+红外成像（IIR）+主动毫米波雷达”三模复合导引头。这将彻底解决“雷达关机”及“静默目标”难题，即使目标彻底断电，红外成像也能通过热 signature 进行精确打击，实现全天候、全时段猎杀，大幅提升抗干扰能力。</w:t>
      </w:r>
      <w:bookmarkEnd w:id="1069"/>
    </w:p>
    <w:p>
      <w:pPr>
        <w:pageBreakBefore w:val="off"/>
        <w:numPr>
          <w:ilvl w:val="0"/>
          <w:numId w:val="26"/>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ff"/>
          <w:i w:val="off"/>
        </w:rPr>
        <w:t>人工智能目标识别（AITO）：引入深度卷积神经网络（CNN），使无人机具备自动识别雷达型号（如区分S-300与S-400的天线外形差异）的能力，甚至能识别指挥车与发电车，进一步提高打击的精准度与政治合法性（减少附带损伤），实现从“打雷达”到“打节点”的跃升。</w:t>
      </w:r>
      <w:bookmarkEnd w:id="1070"/>
    </w:p>
    <w:p>
      <w:pPr>
        <w:pageBreakBefore w:val="off"/>
        <w:numPr>
          <w:ilvl w:val="0"/>
          <w:numId w:val="26"/>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ff"/>
          <w:i w:val="off"/>
        </w:rPr>
        <w:t>网络化集群作战（Mesh Network）：让发射的无人机群之间建立去中心化的自组织网络（Mesh）。若某架无人机发现高价值目标，可自主呼叫周边无人机进行“狼群”协同攻击，实现“1+1&gt;2”的作战效能，具备动态任务分配能力。</w:t>
      </w:r>
      <w:bookmarkEnd w:id="1071"/>
    </w:p>
    <w:p>
      <w:pPr>
        <w:pageBreakBefore w:val="off"/>
        <w:numPr>
          <w:ilvl w:val="0"/>
          <w:numId w:val="27"/>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ff"/>
          <w:i w:val="off"/>
        </w:rPr>
        <w:t>作战概念（CONOPS）创新（跨域协同）：</w:t>
      </w:r>
      <w:bookmarkEnd w:id="1072"/>
    </w:p>
    <w:p>
      <w:pPr>
        <w:pageBreakBefore w:val="off"/>
        <w:numPr>
          <w:ilvl w:val="0"/>
          <w:numId w:val="28"/>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ff"/>
          <w:i w:val="off"/>
        </w:rPr>
        <w:t>“忠诚僚机”模式：由大型高空长航时侦察无人机（如“苍鹭”TP）作为指挥控制节点，搭载人工智能算法，控制数架哈比作为“弹药化”攻击单元，构建无人化的侦察-打击-评估闭环杀伤链，减少对地面站的依赖。</w:t>
      </w:r>
      <w:bookmarkEnd w:id="1073"/>
    </w:p>
    <w:p>
      <w:pPr>
        <w:pageBreakBefore w:val="off"/>
        <w:numPr>
          <w:ilvl w:val="0"/>
          <w:numId w:val="28"/>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ff"/>
          <w:i w:val="off"/>
        </w:rPr>
        <w:t>海上应用拓展：开发反舰型号（ASUW），利用其极佳的海面低空突防能力（海浪杂波掩护），攻击敌方舰艇的相控阵雷达天线和舰桥桅杆，执行“反介入/区域拒止”（A2/AD）任务，拓展至海军作战领域。</w:t>
      </w:r>
      <w:bookmarkEnd w:id="1074"/>
    </w:p>
    <w:p>
      <w:pPr>
        <w:pageBreakBefore w:val="off"/>
        <w:numPr>
          <w:ilvl w:val="0"/>
          <w:numId w:val="29"/>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ff"/>
          <w:i w:val="off"/>
        </w:rPr>
        <w:t>未来演进方向（颠覆性技术融合）：</w:t>
      </w:r>
      <w:bookmarkEnd w:id="1075"/>
    </w:p>
    <w:p>
      <w:pPr>
        <w:pageBreakBefore w:val="off"/>
        <w:numPr>
          <w:ilvl w:val="0"/>
          <w:numId w:val="30"/>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ff"/>
          <w:i w:val="off"/>
        </w:rPr>
        <w:t>隐身化与微型化：进一步缩小雷达反射面积（RCS），采用雷达吸波材料与等离子体隐身技术。研发更小型的单兵便携式发射版本，用于特种作战渗透，由特战队员在敌后投放，攻击野战防空系统，实现战术级应用。</w:t>
      </w:r>
      <w:bookmarkEnd w:id="1076"/>
    </w:p>
    <w:p>
      <w:pPr>
        <w:pageBreakBefore w:val="off"/>
        <w:numPr>
          <w:ilvl w:val="0"/>
          <w:numId w:val="30"/>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高超声速化：探索吸气式冲压发动机或组合循环发动机版本，将巡航速度提升至马赫数3以上，压缩敌方反应时间至秒级，使其无法实施有效拦截，突破现有防空体系。</w:t>
      </w:r>
      <w:bookmarkEnd w:id="1077"/>
    </w:p>
    <w:p>
      <w:pPr>
        <w:pageBreakBefore w:val="off"/>
        <w:numPr>
          <w:ilvl w:val="0"/>
          <w:numId w:val="30"/>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能源武器化与可回收化：探索搭载高功率微波（HPM）载荷，通过“软杀伤”烧毁敌方电子设备，完成任务后启动折叠翼与伞降系统回收，实现无人机的可重复使用，大幅降低作战成本，符合可持续作战理念。</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编制单位：国防科技前沿研究中心·无人作战系统研究所</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编制日期：2026年XX月XX日</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保密等级：机密·仅供内部参考与战略推演</w:t>
      </w:r>
      <w:bookmarkEnd w:id="1081"/>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multilevel"/>
    <w:lvl w:ilvl="0">
      <w:start w:val="2"/>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multilevel"/>
    <w:lvl w:ilvl="0">
      <w:start w:val="3"/>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multilevel"/>
    <w:lvl w:ilvl="0">
      <w:start w:val="2"/>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multilevel"/>
    <w:lvl w:ilvl="0">
      <w:start w:val="3"/>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multilevel"/>
    <w:lvl w:ilvl="0">
      <w:start w:val="4"/>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multilevel"/>
    <w:lvl w:ilvl="0">
      <w:start w:val="2"/>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multilevel"/>
    <w:lvl w:ilvl="0">
      <w:start w:val="3"/>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multilevel"/>
    <w:lvl w:ilvl="0">
      <w:start w:val="2"/>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multilevel"/>
    <w:lvl w:ilvl="0">
      <w:start w:val="2"/>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multilevel"/>
    <w:lvl w:ilvl="0">
      <w:start w:val="3"/>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2026-03-18T03:50:26Z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8GJ/yswZTEDD13U7Hr527oePTW/Su9UsiKix9QS/VXM=","ProduceID":"doc_sgs:a11463ed-86d5-416c-a947-64a1a244cb28","ReservedCode2":"8GJ/yswZTEDD13U7Hr527oePTW/Su9UsiKix9QS/VXM=","PropagateID":"doc_sgs:a11463ed-86d5-416c-a947-64a1a244cb28","ContentProducer":"001191440101MA9Y9T4H7A00000"}</vt:lpwstr>
  </property>
</Properties>
</file>