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n"/>
          <w:i w:val="off"/>
        </w:rPr>
        <w:t>反辐射无人机仿真系统协同任务规划模块需求规格说明</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文档编号</w:t>
      </w:r>
      <w:r>
        <w:rPr>
          <w:rFonts w:ascii="宋体" w:cs="宋体" w:eastAsia="宋体" w:hAnsi="宋体"/>
          <w:sz w:val="24"/>
          <w:spacing w:val="0"/>
          <w:b w:val="off"/>
          <w:i w:val="off"/>
        </w:rPr>
        <w:t>：XXX-XXX-XXX</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n"/>
          <w:i w:val="off"/>
        </w:rPr>
        <w:t>版本号</w:t>
      </w:r>
      <w:r>
        <w:rPr>
          <w:rFonts w:ascii="宋体" w:cs="宋体" w:eastAsia="宋体" w:hAnsi="宋体"/>
          <w:sz w:val="24"/>
          <w:spacing w:val="0"/>
          <w:b w:val="off"/>
          <w:i w:val="off"/>
        </w:rPr>
        <w:t>：VX.X</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编制单位</w:t>
      </w:r>
      <w:r>
        <w:rPr>
          <w:rFonts w:ascii="宋体" w:cs="宋体" w:eastAsia="宋体" w:hAnsi="宋体"/>
          <w:sz w:val="24"/>
          <w:spacing w:val="0"/>
          <w:b w:val="off"/>
          <w:i w:val="off"/>
        </w:rPr>
        <w:t>：XXX</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编制日期</w:t>
      </w:r>
      <w:r>
        <w:rPr>
          <w:rFonts w:ascii="宋体" w:cs="宋体" w:eastAsia="宋体" w:hAnsi="宋体"/>
          <w:sz w:val="24"/>
          <w:spacing w:val="0"/>
          <w:b w:val="off"/>
          <w:i w:val="off"/>
        </w:rPr>
        <w:t>：XXXX年XX月XX日</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审核人</w:t>
      </w:r>
      <w:r>
        <w:rPr>
          <w:rFonts w:ascii="宋体" w:cs="宋体" w:eastAsia="宋体" w:hAnsi="宋体"/>
          <w:sz w:val="24"/>
          <w:spacing w:val="0"/>
          <w:b w:val="off"/>
          <w:i w:val="off"/>
        </w:rPr>
        <w:t>：XXX</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n"/>
          <w:i w:val="off"/>
        </w:rPr>
        <w:t>批准人</w:t>
      </w:r>
      <w:r>
        <w:rPr>
          <w:rFonts w:ascii="宋体" w:cs="宋体" w:eastAsia="宋体" w:hAnsi="宋体"/>
          <w:sz w:val="24"/>
          <w:spacing w:val="0"/>
          <w:b w:val="off"/>
          <w:i w:val="off"/>
        </w:rPr>
        <w:t>：XXX</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n"/>
          <w:i w:val="off"/>
        </w:rPr>
        <w:t>1. 引言</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n"/>
          <w:i w:val="off"/>
        </w:rPr>
        <w:t>1.1 目的</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ff"/>
          <w:i w:val="off"/>
        </w:rPr>
        <w:t>本需求规格说明文档旨在全面、系统且深入地规定反辐射无人机仿真系统中协同任务规划模块的各项技术要求、实施规范以及工程化落地的细节。文档不仅涵盖了功能、性能、接口及数据需求，还特别针对联合作战背景下的复杂电磁环境、动态威胁演变以及多机协同逻辑进行了深度约束与详尽阐述，填补了传统单平台规划在集群智能领域的空白。其核心目的在于确保模块开发过程的标准化、规范化、可追溯性以及全生命周期的可控性，最终交付的系统能够精准满足现代高技术条件下电子对抗场景中的高难度任务规划需求，为后续的系统架构设计、核心算法实现、仿真测试验证以及最终的部队验收提供具有权威性、法律效力且具备实战指导意义的技术依据。</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通过本模块的建设，将显著提升指挥员在高动态、强对抗战场环境下的态势感知能力、辅助决策效率与整体作战效能，实现从传统单平台作战向智能化、集群化、网络化协同作战的跨越式发展。系统需有效应对未来战争中“侦-控-打-评”一体化的作战挑战，解决多源信息融合难、响应速度快、打击精度高等核心痛点。同时，该模块将为新型作战力量的生成提供理论与实践的双重支撑，进而推动作战样式由平台中心战向网络中心战的深刻变革，探索并验证无人集群作战的新质战斗力生成模式。</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1.2 范围</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本文档详细定义了反辐射无人机仿真系统核心组件——协同任务规划模块的全生命周期技术指标、工作边界以及应用环境。适用范围包括但不限于：协同任务的全生命周期精细化管理（涵盖任务的创建、编辑、执行监控、复盘评估及归档销毁）、基于地理信息系统（GIS）的高保真三维任务场景构建与沉浸式可视化渲染、多维战场环境参数的精细化配置与动态注入、基于运筹学与博弈论模型的兵力需求计算、多无人机平台的智能任务分配与冲突消解算法、考虑飞行器动力学约束的巡航与搜索路径规划、以及反辐射无人机特有的导引头工作模式与引信战斗部工作参数规划。</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ff"/>
          <w:i w:val="off"/>
        </w:rPr>
        <w:t>此外，文档还明确了模块在联合作战体系中的协同设计能力，涵盖与上级指挥信息系统、友邻兵种数据链的交互逻辑，以及在复杂网络环境下的信息融合机制与互操作性规范。本模块将作为整个仿真系统的核心决策中枢与“智慧大脑”，其规划结果的合理性、实时性与鲁棒性将直接决定仿真的真实性、战术价值、训练效果以及对未来战法创新的支撑能力，是连接战术意图与仿真执行的关键纽带。文档范围不涉及底层物理引擎的具体实现细节，但需定义其与规划模块的交互接口与数据标准。</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n"/>
          <w:i w:val="off"/>
        </w:rPr>
        <w:t>1.3 引用标准</w:t>
      </w:r>
      <w:bookmarkEnd w:id="1015"/>
    </w:p>
    <w:p>
      <w:pPr>
        <w:pageBreakBefore w:val="off"/>
        <w:numPr>
          <w:ilvl w:val="0"/>
          <w:numId w:val="1"/>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GJB 438C-202X 《军用软件开发文档编制要求》</w:t>
      </w:r>
      <w:bookmarkEnd w:id="1016"/>
    </w:p>
    <w:p>
      <w:pPr>
        <w:pageBreakBefore w:val="off"/>
        <w:numPr>
          <w:ilvl w:val="0"/>
          <w:numId w:val="1"/>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ff"/>
          <w:i w:val="off"/>
        </w:rPr>
        <w:t>GJB 2786A-2009 《军用软件开发通用要求》</w:t>
      </w:r>
      <w:bookmarkEnd w:id="1017"/>
    </w:p>
    <w:p>
      <w:pPr>
        <w:pageBreakBefore w:val="off"/>
        <w:numPr>
          <w:ilvl w:val="0"/>
          <w:numId w:val="1"/>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ff"/>
          <w:i w:val="off"/>
        </w:rPr>
        <w:t>GJB 5481-2005 《软件质量保证计划通用要求》</w:t>
      </w:r>
      <w:bookmarkEnd w:id="1018"/>
    </w:p>
    <w:p>
      <w:pPr>
        <w:pageBreakBefore w:val="off"/>
        <w:numPr>
          <w:ilvl w:val="0"/>
          <w:numId w:val="1"/>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ff"/>
          <w:i w:val="off"/>
        </w:rPr>
        <w:t>GJB/Z 141-2004 《军用软件测试指南》</w:t>
      </w:r>
      <w:bookmarkEnd w:id="1019"/>
    </w:p>
    <w:p>
      <w:pPr>
        <w:pageBreakBefore w:val="off"/>
        <w:numPr>
          <w:ilvl w:val="0"/>
          <w:numId w:val="1"/>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ff"/>
          <w:i w:val="off"/>
        </w:rPr>
        <w:t>GJB XXXX 《XX系统接口规范》</w:t>
      </w:r>
      <w:bookmarkEnd w:id="1020"/>
    </w:p>
    <w:p>
      <w:pPr>
        <w:pageBreakBefore w:val="off"/>
        <w:numPr>
          <w:ilvl w:val="0"/>
          <w:numId w:val="1"/>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ff"/>
          <w:i w:val="off"/>
        </w:rPr>
        <w:t>GJB XXXX 《XX数据格式标准》</w:t>
      </w:r>
      <w:bookmarkEnd w:id="1021"/>
    </w:p>
    <w:p>
      <w:pPr>
        <w:pageBreakBefore w:val="off"/>
        <w:numPr>
          <w:ilvl w:val="0"/>
          <w:numId w:val="1"/>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ff"/>
          <w:i w:val="off"/>
        </w:rPr>
        <w:t>GJB 700A-2006 《军用装备战场环境术语》</w:t>
      </w:r>
      <w:bookmarkEnd w:id="1022"/>
    </w:p>
    <w:p>
      <w:pPr>
        <w:pageBreakBefore w:val="off"/>
        <w:numPr>
          <w:ilvl w:val="0"/>
          <w:numId w:val="1"/>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ff"/>
          <w:i w:val="off"/>
        </w:rPr>
        <w:t>GJB 9001C-2017 《质量管理体系要求》</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n"/>
          <w:i w:val="off"/>
        </w:rPr>
        <w:t>2. 概述</w:t>
      </w:r>
      <w:bookmarkEnd w:id="1024"/>
    </w:p>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n"/>
          <w:i w:val="off"/>
        </w:rPr>
        <w:t>2.1 系统概述</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ff"/>
          <w:i w:val="off"/>
        </w:rPr>
        <w:t>反辐射无人机仿真系统是一套高度集成的数字化仿真平台，专门用于模拟反辐射无人机从任务规划、飞行控制、目标截获到毁伤评估的全流程闭环作战过程。该系统通过构建虚拟的战场环境与数字化的作战力量，为战术研究、装备论证、人员训练提供低成本、高安全性的技术手段。</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协同任务规划模块作为该系统的“大脑”与核心功能组件，主要负责处理多无人机（UAV）集群在复杂战场环境下的协同逻辑与优化决策。它不仅需要处理单机的航路点生成与轨迹优化，更需解决多机在时间、空间、能量及信息维度上的协同优化问题，确保在模拟的高威胁、强对抗环境中，无人机集群能够以最优的编队、最短的路径、最高的成功率以及最小的资源损耗完成对敌方辐射源的压制与摧毁任务。</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模块设计需充分模拟真实的指挥控制流程，支持从战略意图到战术动作的自动转化与人工干预，是实现“人在回路中”与“机器自主决策”深度融合的关键节点。模块需具备处理不确定性（如传感器误差、通信延迟）的能力，其算法的先进性直接决定了仿真系统的智能化水平与战术逼真度，是验证新型作战概念、探索战术战法以及进行作战效能评估的重要载体。</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n"/>
          <w:i w:val="off"/>
        </w:rPr>
        <w:t>2.2 模块关系</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ff"/>
          <w:i w:val="off"/>
        </w:rPr>
        <w:t>协同任务规划模块处于系统架构的顶层应用层，与底层的功能模块存在紧密的数据交互与控制依赖关系。在数据流层面，它需从数据管理模块获取基础地理信息、数字高程模型及无人机全生命周期的性能数据库；向仿真引擎模块输出标准化的任务指令流、航路点序列及载荷控制参数；通过通信控制模块模拟战术数据链的传输过程，实时接收虚拟的战场态势更新与毁伤效果反馈。</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在控制流层面，模块设计必须严格遵循系统级接口控制文档（ICD）的规定，确保数据交换的实时性、准确性和一致性。模块需响应导调控制台的指令，如暂停、快进、回退等，以适应训练与推演的需求。此外，模块需具备良好的解耦能力与接口兼容性，确保在更换底层仿真引擎或硬件接口时，核心规划算法与业务逻辑无需进行大规模的重构，从而提升系统的可维护性、可扩展性以及技术的可持续发展能力，适应未来不断演进的作战需求与技术架构。</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n"/>
          <w:i w:val="off"/>
        </w:rPr>
        <w:t>3. 具体需求</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3.1 功能需求</w:t>
      </w:r>
      <w:bookmarkEnd w:id="1033"/>
    </w:p>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n"/>
          <w:i w:val="off"/>
        </w:rPr>
        <w:t>3.1.1 协同任务管理</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需求标识</w:t>
      </w:r>
      <w:r>
        <w:rPr>
          <w:rFonts w:ascii="宋体" w:cs="宋体" w:eastAsia="宋体" w:hAnsi="宋体"/>
          <w:sz w:val="24"/>
          <w:spacing w:val="0"/>
          <w:b w:val="off"/>
          <w:i w:val="off"/>
        </w:rPr>
        <w:t>：FR-01</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036"/>
    </w:p>
    <w:p>
      <w:pPr>
        <w:pageBreakBefore w:val="off"/>
        <w:numPr>
          <w:ilvl w:val="0"/>
          <w:numId w:val="2"/>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ff"/>
          <w:i w:val="off"/>
        </w:rPr>
        <w:t>系统应支持协同任务的全生命周期精细化管理。在任务创建阶段，操作员能够录入详尽的任务元数据，包括但不限于任务名称、唯一编号、任务类型（如SEAD压制敌防空、侦察、毁伤评估等）、任务目标清单（含地理坐标、目标优先级、威胁等级）、以及精确到秒的起止时间窗口。系统应支持任务的分阶段设置与流程化管理，如集结阶段、突防阶段、攻击阶段及撤退阶段，并允许为各阶段设置独立的战术规则、安全协议以及应急预案，确保任务流程的严密性与战术的灵活性。</w:t>
      </w:r>
      <w:bookmarkEnd w:id="1037"/>
    </w:p>
    <w:p>
      <w:pPr>
        <w:pageBreakBefore w:val="off"/>
        <w:numPr>
          <w:ilvl w:val="0"/>
          <w:numId w:val="2"/>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ff"/>
          <w:i w:val="off"/>
        </w:rPr>
        <w:t>系统应提供完善的数据管理操作功能，包括任务工程的快速打开、版本化保存（支持历史版本回溯与差异对比）、逻辑删除与物理清理。同时，需支持任务数据的标准化导入/导出，以便进行离线推演、跨平台数据共享或异地协同规划。系统应具备自动备份与灾难恢复机制，防止因意外断电或系统故障导致关键数据丢失，确保数据资产的安全与业务连续性。支持任务模板的创建与复用，提高高频次任务的规划效率。</w:t>
      </w:r>
      <w:bookmarkEnd w:id="1038"/>
    </w:p>
    <w:p>
      <w:pPr>
        <w:pageBreakBefore w:val="off"/>
        <w:numPr>
          <w:ilvl w:val="0"/>
          <w:numId w:val="2"/>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ff"/>
          <w:i w:val="off"/>
        </w:rPr>
        <w:t>所有的任务数据存储结构必须严格符合GJB XXXX规定的数据字典标准，确保存储于高安全级别的加密数据库中，保障数据的完整性、一致性和保密性。系统应支持多用户并发访问控制与锁机制，防止多人同时编辑导致的数据冲突与覆盖，确保协同工作的有序性与数据一致性。支持任务状态的实时同步与广播，保证各席位视图的一致性。</w:t>
      </w:r>
      <w:bookmarkEnd w:id="1039"/>
    </w:p>
    <w:p>
      <w:pPr>
        <w:pageBreakBefore w:val="off"/>
        <w:numPr>
          <w:ilvl w:val="0"/>
          <w:numId w:val="2"/>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040"/>
    </w:p>
    <w:p>
      <w:pPr>
        <w:pageBreakBefore w:val="off"/>
        <w:numPr>
          <w:ilvl w:val="0"/>
          <w:numId w:val="3"/>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ff"/>
          <w:i w:val="off"/>
        </w:rPr>
        <w:t>任务数据保存/加载响应时间≤2秒（针对包含100个实体的工程文件）。</w:t>
      </w:r>
      <w:bookmarkEnd w:id="1041"/>
    </w:p>
    <w:p>
      <w:pPr>
        <w:pageBreakBefore w:val="off"/>
        <w:numPr>
          <w:ilvl w:val="0"/>
          <w:numId w:val="3"/>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ff"/>
          <w:i w:val="off"/>
        </w:rPr>
        <w:t>支持至少10个历史版本的回溯、对比与恢复操作，版本差异高亮显示。</w:t>
      </w:r>
      <w:bookmarkEnd w:id="1042"/>
    </w:p>
    <w:p>
      <w:pPr>
        <w:pageBreakBefore w:val="off"/>
        <w:numPr>
          <w:ilvl w:val="0"/>
          <w:numId w:val="3"/>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ff"/>
          <w:i w:val="off"/>
        </w:rPr>
        <w:t>数据导入/导出成功率100%，且数据丢失率与错误率均为0，支持断点续传。</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n"/>
          <w:i w:val="off"/>
        </w:rPr>
        <w:t>3.1.2 任务场景编辑</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需求标识</w:t>
      </w:r>
      <w:r>
        <w:rPr>
          <w:rFonts w:ascii="宋体" w:cs="宋体" w:eastAsia="宋体" w:hAnsi="宋体"/>
          <w:sz w:val="24"/>
          <w:spacing w:val="0"/>
          <w:b w:val="off"/>
          <w:i w:val="off"/>
        </w:rPr>
        <w:t>：FR-02</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046"/>
    </w:p>
    <w:p>
      <w:pPr>
        <w:pageBreakBefore w:val="off"/>
        <w:numPr>
          <w:ilvl w:val="0"/>
          <w:numId w:val="4"/>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系统必须提供基于GIS的二维/三维一体化图形化场景编辑器。用户界面应支持主流矢量地图与栅格地图的加载（如Shapefile、GeoTIFF、KML格式），并具备良好的渲染性能与交互体验。支持多分辨率地形的无缝切换与LOD（细节层次）技术，确保在缩放与漫游过程中无明显卡顿或贴图撕裂，提供流畅的视觉反馈与沉浸感。支持地形的动态修改与编辑，如模拟爆炸坑、桥梁损毁等战场损伤效果。</w:t>
      </w:r>
      <w:bookmarkEnd w:id="1047"/>
    </w:p>
    <w:p>
      <w:pPr>
        <w:pageBreakBefore w:val="off"/>
        <w:numPr>
          <w:ilvl w:val="0"/>
          <w:numId w:val="4"/>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ff"/>
          <w:i w:val="off"/>
        </w:rPr>
        <w:t>操作员应在地图上进行交互式标注，定义任务背景（如友方控制区、敌方作战纵深、中立区）、精确标定任务目标（雷达站、防空导弹阵地、指挥所等关键节点）、以及部署动态或静态的威胁要素（如SAM射界扇形图、高炮火力网、电磁静默区或移动雷达车）。支持通过拖拽方式快速部署兵力模型，并实时显示其属性面板，进行参数微调，提升规划效率。支持在地图上直接绘制禁飞区、走廊或安全通道。</w:t>
      </w:r>
      <w:bookmarkEnd w:id="1048"/>
    </w:p>
    <w:p>
      <w:pPr>
        <w:pageBreakBefore w:val="off"/>
        <w:numPr>
          <w:ilvl w:val="0"/>
          <w:numId w:val="4"/>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ff"/>
          <w:i w:val="off"/>
        </w:rPr>
        <w:t>支持多兵种兵力的可视化配置与参数化建模，包括反辐射无人机编队、预警机、电子干扰机及地面指挥中心的部署与属性编辑。系统应提供丰富的兵力图标库与3D模型库，能够直观区分不同型号、不同作战状态（如待命、巡航、攻击）的作战单元，增强场景的真实感与战术识别度。支持自定义兵力模型的导入与挂载点配置。</w:t>
      </w:r>
      <w:bookmarkEnd w:id="1049"/>
    </w:p>
    <w:p>
      <w:pPr>
        <w:pageBreakBefore w:val="off"/>
        <w:numPr>
          <w:ilvl w:val="0"/>
          <w:numId w:val="4"/>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ff"/>
          <w:i w:val="off"/>
        </w:rPr>
        <w:t>提供完善的图层管理功能，允许用户对场景元素（如地形、威胁、兵力、航迹）进行分层显示、隐藏、锁定或透明度调整，支持对同类元素属性的批量修改。图层操作应支持快捷键与右键菜单，以提升高级用户的操作效率与定制化能力，适应复杂场景的快速构建。支持图层的过滤功能，如按类型、按阵营、按状态筛选显示。</w:t>
      </w:r>
      <w:bookmarkEnd w:id="1050"/>
    </w:p>
    <w:p>
      <w:pPr>
        <w:pageBreakBefore w:val="off"/>
        <w:numPr>
          <w:ilvl w:val="0"/>
          <w:numId w:val="4"/>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051"/>
    </w:p>
    <w:p>
      <w:pPr>
        <w:pageBreakBefore w:val="off"/>
        <w:numPr>
          <w:ilvl w:val="0"/>
          <w:numId w:val="5"/>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ff"/>
          <w:i w:val="off"/>
        </w:rPr>
        <w:t>地图加载延迟≤3秒（针对1GB以内的地形数据包）。</w:t>
      </w:r>
      <w:bookmarkEnd w:id="1052"/>
    </w:p>
    <w:p>
      <w:pPr>
        <w:pageBreakBefore w:val="off"/>
        <w:numPr>
          <w:ilvl w:val="0"/>
          <w:numId w:val="5"/>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ff"/>
          <w:i w:val="off"/>
        </w:rPr>
        <w:t>支持同时编辑不少于200个场景实体（含目标、威胁、兵力）且界面渲染帧率≥25FPS，无明显延迟。</w:t>
      </w:r>
      <w:bookmarkEnd w:id="1053"/>
    </w:p>
    <w:p>
      <w:pPr>
        <w:pageBreakBefore w:val="off"/>
        <w:numPr>
          <w:ilvl w:val="0"/>
          <w:numId w:val="5"/>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图层切换与显隐操作的响应时间≤1秒，支持图层组的嵌套管理。</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n"/>
          <w:i w:val="off"/>
        </w:rPr>
        <w:t>3.1.3 环境参数设置</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需求标识</w:t>
      </w:r>
      <w:r>
        <w:rPr>
          <w:rFonts w:ascii="宋体" w:cs="宋体" w:eastAsia="宋体" w:hAnsi="宋体"/>
          <w:sz w:val="24"/>
          <w:spacing w:val="0"/>
          <w:b w:val="off"/>
          <w:i w:val="off"/>
        </w:rPr>
        <w:t>：FR-03</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057"/>
    </w:p>
    <w:p>
      <w:pPr>
        <w:pageBreakBefore w:val="off"/>
        <w:numPr>
          <w:ilvl w:val="0"/>
          <w:numId w:val="6"/>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ff"/>
          <w:i w:val="off"/>
        </w:rPr>
        <w:t>系统应支持高精度数字高程模型（DEM）数据的接入、融合与可视化，分辨率不低于XX米，能够真实还原地形高度起伏与人工/自然障碍物（如建筑物、高压线塔、山峰）的空间分布情况，为路径规划提供精确的物理约束与碰撞检测依据。系统需自动识别地形遮蔽角与通视性，辅助规划人员设计利用地形掩护的隐蔽航线，提高突防概率与生存能力。支持地形数据的裁剪与拼接功能。</w:t>
      </w:r>
      <w:bookmarkEnd w:id="1058"/>
    </w:p>
    <w:p>
      <w:pPr>
        <w:pageBreakBefore w:val="off"/>
        <w:numPr>
          <w:ilvl w:val="0"/>
          <w:numId w:val="6"/>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系统应具备气象环境仿真设置功能，允许操作员配置动态或静态的气象参数，包括但不限于风速矢量（顺风/逆风/侧风分量）、风向、大气温度、湿度、气压以及复杂电磁环境下的背景噪声强度与干扰频谱分布。气象数据应能实时影响无人机的飞行能耗模型、气动性能及传感器探测距离，增加仿真的逼真度与物理真实性。支持导入气象预报数据文件并生成动态气象场。</w:t>
      </w:r>
      <w:bookmarkEnd w:id="1059"/>
    </w:p>
    <w:p>
      <w:pPr>
        <w:pageBreakBefore w:val="off"/>
        <w:numPr>
          <w:ilvl w:val="0"/>
          <w:numId w:val="6"/>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提供标准化的参数导入接口，兼容GJB XXXX标准格式的环境数据文件，确保与上级战场环境仿真系统或气象保障系统的数据互通与无缝集成。系统应支持环境数据的时空插值算法，实现环境参数在时间和空间上的平滑过渡，避免突变导致仿真异常或物理模型失真，保证仿真过程的连续性与平滑性。</w:t>
      </w:r>
      <w:bookmarkEnd w:id="1060"/>
    </w:p>
    <w:p>
      <w:pPr>
        <w:pageBreakBefore w:val="off"/>
        <w:numPr>
          <w:ilvl w:val="0"/>
          <w:numId w:val="6"/>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061"/>
    </w:p>
    <w:p>
      <w:pPr>
        <w:pageBreakBefore w:val="off"/>
        <w:numPr>
          <w:ilvl w:val="0"/>
          <w:numId w:val="7"/>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ff"/>
          <w:i w:val="off"/>
        </w:rPr>
        <w:t>DEM数据融合精度误差≤1.5倍分辨率，支持多源数据融合。</w:t>
      </w:r>
      <w:bookmarkEnd w:id="1062"/>
    </w:p>
    <w:p>
      <w:pPr>
        <w:pageBreakBefore w:val="off"/>
        <w:numPr>
          <w:ilvl w:val="0"/>
          <w:numId w:val="7"/>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ff"/>
          <w:i w:val="off"/>
        </w:rPr>
        <w:t>支持至少10种气象参数的独立配置与多参数叠加仿真，影响飞行模型。</w:t>
      </w:r>
      <w:bookmarkEnd w:id="1063"/>
    </w:p>
    <w:p>
      <w:pPr>
        <w:pageBreakBefore w:val="off"/>
        <w:numPr>
          <w:ilvl w:val="0"/>
          <w:numId w:val="7"/>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环境参数设置或更新后，系统重新计算环境影响模型的时间≤5秒。</w:t>
      </w:r>
      <w:bookmarkEnd w:id="1064"/>
    </w:p>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n"/>
          <w:i w:val="off"/>
        </w:rPr>
        <w:t>3.1.4 兵力需求计算</w:t>
      </w:r>
      <w:bookmarkEnd w:id="1065"/>
    </w:p>
    <w:p>
      <w:pPr>
        <w:pageBreakBefore w:val="off"/>
        <w:tabs/>
        <w:wordWrap w:val="on"/>
        <w:spacing w:after="0" w:before="160"/>
        <w:ind w:left="0" w:right="0"/>
        <w:jc w:val="left"/>
        <w:textAlignment w:val="auto"/>
        <w:rPr>
          <w:sz w:val="24"/>
        </w:rPr>
      </w:pPr>
      <w:bookmarkStart w:id="1066" w:name=""/>
      <w:r>
        <w:rPr>
          <w:rFonts w:ascii="宋体" w:cs="宋体" w:eastAsia="宋体" w:hAnsi="宋体"/>
          <w:sz w:val="24"/>
          <w:spacing w:val="0"/>
          <w:b w:val="on"/>
          <w:i w:val="off"/>
        </w:rPr>
        <w:t>需求标识</w:t>
      </w:r>
      <w:r>
        <w:rPr>
          <w:rFonts w:ascii="宋体" w:cs="宋体" w:eastAsia="宋体" w:hAnsi="宋体"/>
          <w:sz w:val="24"/>
          <w:spacing w:val="0"/>
          <w:b w:val="off"/>
          <w:i w:val="off"/>
        </w:rPr>
        <w:t>：FR-04</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067"/>
    </w:p>
    <w:p>
      <w:pPr>
        <w:pageBreakBefore w:val="off"/>
        <w:numPr>
          <w:ilvl w:val="0"/>
          <w:numId w:val="8"/>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ff"/>
          <w:i w:val="off"/>
        </w:rPr>
        <w:t>系统应内置基于运筹学与效能评估理论的兵力计算模型，能够根据输入的任务类型、目标价值矩阵、威胁分布密度以及可用的反辐射无人机兵力资源库（包含各型无人机的航程、载荷、生存能力、传感器性能、武器毁伤半径等参数），通过优化算法自动计算并推荐完成任务所需的最小/最优无人机数量及机型组合。模型应考虑任务成功率的概率分布、毁伤链闭环时间以及冗余备份需求等因素，进行多目标优化，平衡任务效能与资源成本。</w:t>
      </w:r>
      <w:bookmarkEnd w:id="1068"/>
    </w:p>
    <w:p>
      <w:pPr>
        <w:pageBreakBefore w:val="off"/>
        <w:numPr>
          <w:ilvl w:val="0"/>
          <w:numId w:val="8"/>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ff"/>
          <w:i w:val="off"/>
        </w:rPr>
        <w:t>系统应支持人工干预计算过程，允许指挥员手动调整任务权重、资源约束条件或指定特定目标的打击优先级，系统需实时生成相应的兵力需求报告，包括推荐机型、数量、备选方案及风险评估。系统应提供直观的成本效益分析图表与雷达图，辅助决策者进行多方案比选与权衡。支持对计算模型的参数进行微调与校准，以适应不同战术背景下的需求。</w:t>
      </w:r>
      <w:bookmarkEnd w:id="1069"/>
    </w:p>
    <w:p>
      <w:pPr>
        <w:pageBreakBefore w:val="off"/>
        <w:numPr>
          <w:ilvl w:val="0"/>
          <w:numId w:val="8"/>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ff"/>
          <w:i w:val="off"/>
        </w:rPr>
        <w:t>算法计算结果的误差范围必须控制在任务资源总量的XX%以内，确保决策支持的科学性与可靠性。计算过程应具备透明化与可解释性，允许用户查看中间计算步骤、参数权重分配及约束条件的满足情况，增强用户对系统的信任度与操作信心。系统应记录计算过程的日志，便于复盘与审计。</w:t>
      </w:r>
      <w:bookmarkEnd w:id="1070"/>
    </w:p>
    <w:p>
      <w:pPr>
        <w:pageBreakBefore w:val="off"/>
        <w:numPr>
          <w:ilvl w:val="0"/>
          <w:numId w:val="8"/>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071"/>
    </w:p>
    <w:p>
      <w:pPr>
        <w:pageBreakBefore w:val="off"/>
        <w:numPr>
          <w:ilvl w:val="0"/>
          <w:numId w:val="9"/>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ff"/>
          <w:i w:val="off"/>
        </w:rPr>
        <w:t>计算响应时间≤10秒（针对包含50个目标、20架无人机的中等复杂度场景）。</w:t>
      </w:r>
      <w:bookmarkEnd w:id="1072"/>
    </w:p>
    <w:p>
      <w:pPr>
        <w:pageBreakBefore w:val="off"/>
        <w:numPr>
          <w:ilvl w:val="0"/>
          <w:numId w:val="9"/>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ff"/>
          <w:i w:val="off"/>
        </w:rPr>
        <w:t>推荐兵力资源利用率≥90%（与理论最优解对比，考虑冗余备份后的合理性）。</w:t>
      </w:r>
      <w:bookmarkEnd w:id="1073"/>
    </w:p>
    <w:p>
      <w:pPr>
        <w:pageBreakBefore w:val="off"/>
        <w:numPr>
          <w:ilvl w:val="0"/>
          <w:numId w:val="9"/>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ff"/>
          <w:i w:val="off"/>
        </w:rPr>
        <w:t>计算结果与人工专家经验方案的一致性≥85%（通过专家评审组评定）。</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n"/>
          <w:i w:val="off"/>
        </w:rPr>
        <w:t>3.1.5 作战任务分配</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n"/>
          <w:i w:val="off"/>
        </w:rPr>
        <w:t>需求标识</w:t>
      </w:r>
      <w:r>
        <w:rPr>
          <w:rFonts w:ascii="宋体" w:cs="宋体" w:eastAsia="宋体" w:hAnsi="宋体"/>
          <w:sz w:val="24"/>
          <w:spacing w:val="0"/>
          <w:b w:val="off"/>
          <w:i w:val="off"/>
        </w:rPr>
        <w:t>：FR-05</w:t>
      </w:r>
      <w:bookmarkEnd w:id="1076"/>
    </w:p>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077"/>
    </w:p>
    <w:p>
      <w:pPr>
        <w:pageBreakBefore w:val="off"/>
        <w:numPr>
          <w:ilvl w:val="0"/>
          <w:numId w:val="10"/>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系统应基于先进的智能优化算法（如改进型遗传算法、蚁群算法、粒子群优化或深度强化学习算法）进行多无人机协同任务分配。算法需将离散的任务点集（目标点）合理分配至各无人机，构建最优任务序列，以最小化总航程、总时间或最大化整体任务成功率。算法应具备动态重规划能力，能够应对突发任务插入、无人机损毁或目标消失等异常情况，保证任务的弹性与鲁棒性。支持分布式与集中式两种分配模式的切换。</w:t>
      </w:r>
      <w:bookmarkEnd w:id="1078"/>
    </w:p>
    <w:p>
      <w:pPr>
        <w:pageBreakBefore w:val="off"/>
        <w:numPr>
          <w:ilvl w:val="0"/>
          <w:numId w:val="10"/>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ff"/>
          <w:i w:val="off"/>
        </w:rPr>
        <w:t>系统必须支持任务优先级的动态设置与实时调整，确保高价值目标（HVT）或高威胁目标（HTT）能够被优先分配给性能最匹配的无人机平台。支持设置任务的互斥约束（如某特定目标不能由某型无人机攻击）或依赖约束（如必须先压制雷达再攻击指挥所），满足复杂战术逻辑与作战规则。支持任务抢占机制与紧急任务插队功能。</w:t>
      </w:r>
      <w:bookmarkEnd w:id="1079"/>
    </w:p>
    <w:p>
      <w:pPr>
        <w:pageBreakBefore w:val="off"/>
        <w:numPr>
          <w:ilvl w:val="0"/>
          <w:numId w:val="10"/>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ff"/>
          <w:i w:val="off"/>
        </w:rPr>
        <w:t>任务分配结果必须满足严格的负载均衡约束，单架无人机的预估任务执行时长（含飞行、搜索、攻击、待机）不得超过其最大续航时间的XX%，同时需考虑燃油/电力余量的安全裕度。系统应自动标注超载或潜在超载的任务单元，并给出预警提示，防止任务失败与资源浪费。支持人工手动调整任务分配结果，并能自动检测冲突与违规。</w:t>
      </w:r>
      <w:bookmarkEnd w:id="1080"/>
    </w:p>
    <w:p>
      <w:pPr>
        <w:pageBreakBefore w:val="off"/>
        <w:numPr>
          <w:ilvl w:val="0"/>
          <w:numId w:val="10"/>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081"/>
    </w:p>
    <w:p>
      <w:pPr>
        <w:pageBreakBefore w:val="off"/>
        <w:numPr>
          <w:ilvl w:val="0"/>
          <w:numId w:val="11"/>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ff"/>
          <w:i w:val="off"/>
        </w:rPr>
        <w:t>任务分配算法收敛时间≤15秒（针对100个任务点、30架无人机的大规模场景）。</w:t>
      </w:r>
      <w:bookmarkEnd w:id="1082"/>
    </w:p>
    <w:p>
      <w:pPr>
        <w:pageBreakBefore w:val="off"/>
        <w:numPr>
          <w:ilvl w:val="0"/>
          <w:numId w:val="11"/>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ff"/>
          <w:i w:val="off"/>
        </w:rPr>
        <w:t>任务分配负载均衡率≥95%（各无人机任务时间差控制在5%以内）。</w:t>
      </w:r>
      <w:bookmarkEnd w:id="1083"/>
    </w:p>
    <w:p>
      <w:pPr>
        <w:pageBreakBefore w:val="off"/>
        <w:numPr>
          <w:ilvl w:val="0"/>
          <w:numId w:val="11"/>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ff"/>
          <w:i w:val="off"/>
        </w:rPr>
        <w:t>任务优先级满足率100%（高优先级任务必须被优先分配且无遗漏）。</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n"/>
          <w:i w:val="off"/>
        </w:rPr>
        <w:t>3.1.6 巡航路径规划</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n"/>
          <w:i w:val="off"/>
        </w:rPr>
        <w:t>需求标识</w:t>
      </w:r>
      <w:r>
        <w:rPr>
          <w:rFonts w:ascii="宋体" w:cs="宋体" w:eastAsia="宋体" w:hAnsi="宋体"/>
          <w:sz w:val="24"/>
          <w:spacing w:val="0"/>
          <w:b w:val="off"/>
          <w:i w:val="off"/>
        </w:rPr>
        <w:t>：FR-06</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087"/>
    </w:p>
    <w:p>
      <w:pPr>
        <w:pageBreakBefore w:val="off"/>
        <w:numPr>
          <w:ilvl w:val="0"/>
          <w:numId w:val="12"/>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ff"/>
          <w:i w:val="off"/>
        </w:rPr>
        <w:t>系统应提供高效的路径规划算法库（如A*、Dijkstra、RRT*等改进算法），用于生成反辐射无人机从起飞点（或集结点）到任务区域入口的巡航路径。规划过程必须综合考虑无人机的物理性能限制，如最小转弯半径、最大航程、巡航速度、爬升/下降率、最大过载及续航时间。算法需支持三维空间规划，考虑高度层的动态调整与地形跟随/地形回避（TF/TA）策略，确保路径的物理可行性。</w:t>
      </w:r>
      <w:bookmarkEnd w:id="1088"/>
    </w:p>
    <w:p>
      <w:pPr>
        <w:pageBreakBefore w:val="off"/>
        <w:numPr>
          <w:ilvl w:val="0"/>
          <w:numId w:val="12"/>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ff"/>
          <w:i w:val="off"/>
        </w:rPr>
        <w:t>生成的路径必须是威胁规避的，即自动避开禁飞区、已知的敌方防空火力覆盖区（如SAM环、高炮杀伤区），并充分利用地形遮蔽（如利用山谷、山脊进行隐蔽飞行）以降低被敌方雷达探测的概率。同时，需计入气象因素（如雷暴区、强风切变区）对飞行安全的影响，确保路径的物理可行性与安全性。支持设置动态威胁规避，如模拟雷达开机扫描扇区。</w:t>
      </w:r>
      <w:bookmarkEnd w:id="1089"/>
    </w:p>
    <w:p>
      <w:pPr>
        <w:pageBreakBefore w:val="off"/>
        <w:numPr>
          <w:ilvl w:val="0"/>
          <w:numId w:val="12"/>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ff"/>
          <w:i w:val="off"/>
        </w:rPr>
        <w:t>系统应支持对生成路径的平滑处理与几何优化，消除不必要的锯齿状折线，减少无人机实际飞行中的能量损耗与舵面控制难度。支持设置航路点的飞越高度约束（如最低安全高度MSA）与速度约束，满足不同空域的管理要求与飞行器动力学特性。支持路径的批量编辑与微调功能。</w:t>
      </w:r>
      <w:bookmarkEnd w:id="1090"/>
    </w:p>
    <w:p>
      <w:pPr>
        <w:pageBreakBefore w:val="off"/>
        <w:numPr>
          <w:ilvl w:val="0"/>
          <w:numId w:val="12"/>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ff"/>
          <w:i w:val="off"/>
        </w:rPr>
        <w:t>在典型规模的战场环境下，单机巡航路径的规划响应时间不得超过XX秒，以满足快速反应与临机规划的需求。系统应支持多机批量路径规划，并自动检测路径间的空间冲突与时间冲突，进行避碰处理与时间窗调整，确保集群飞行安全。支持路径的4D（三维空间+时间）规划与冲突检测。</w:t>
      </w:r>
      <w:bookmarkEnd w:id="1091"/>
    </w:p>
    <w:p>
      <w:pPr>
        <w:pageBreakBefore w:val="off"/>
        <w:numPr>
          <w:ilvl w:val="0"/>
          <w:numId w:val="12"/>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092"/>
    </w:p>
    <w:p>
      <w:pPr>
        <w:pageBreakBefore w:val="off"/>
        <w:numPr>
          <w:ilvl w:val="0"/>
          <w:numId w:val="13"/>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ff"/>
          <w:i w:val="off"/>
        </w:rPr>
        <w:t>单机路径规划时间≤8秒（复杂度中等的战场环境）。</w:t>
      </w:r>
      <w:bookmarkEnd w:id="1093"/>
    </w:p>
    <w:p>
      <w:pPr>
        <w:pageBreakBefore w:val="off"/>
        <w:numPr>
          <w:ilvl w:val="0"/>
          <w:numId w:val="13"/>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ff"/>
          <w:i w:val="off"/>
        </w:rPr>
        <w:t>路径威胁规避成功率100%（无路径段穿越威胁核心区或禁飞区）。</w:t>
      </w:r>
      <w:bookmarkEnd w:id="1094"/>
    </w:p>
    <w:p>
      <w:pPr>
        <w:pageBreakBefore w:val="off"/>
        <w:numPr>
          <w:ilvl w:val="0"/>
          <w:numId w:val="13"/>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ff"/>
          <w:i w:val="off"/>
        </w:rPr>
        <w:t>路径平滑度误差≤5度（相邻航段夹角符合飞行器动力学约束）。</w:t>
      </w:r>
      <w:bookmarkEnd w:id="1095"/>
    </w:p>
    <w:p>
      <w:pPr>
        <w:pageBreakBefore w:val="off"/>
        <w:numPr>
          <w:ilvl w:val="0"/>
          <w:numId w:val="13"/>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ff"/>
          <w:i w:val="off"/>
        </w:rPr>
        <w:t>规划路径长度与理论最短路径偏差≤10%。</w:t>
      </w:r>
      <w:bookmarkEnd w:id="1096"/>
    </w:p>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n"/>
          <w:i w:val="off"/>
        </w:rPr>
        <w:t>3.1.7 搜索路径规划</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n"/>
          <w:i w:val="off"/>
        </w:rPr>
        <w:t>需求标识</w:t>
      </w:r>
      <w:r>
        <w:rPr>
          <w:rFonts w:ascii="宋体" w:cs="宋体" w:eastAsia="宋体" w:hAnsi="宋体"/>
          <w:sz w:val="24"/>
          <w:spacing w:val="0"/>
          <w:b w:val="off"/>
          <w:i w:val="off"/>
        </w:rPr>
        <w:t>：FR-07</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099"/>
    </w:p>
    <w:p>
      <w:pPr>
        <w:pageBreakBefore w:val="off"/>
        <w:numPr>
          <w:ilvl w:val="0"/>
          <w:numId w:val="14"/>
        </w:numPr>
        <w:tabs/>
        <w:wordWrap w:val="on"/>
        <w:spacing w:after="0" w:before="160"/>
        <w:ind w:hanging="440" w:left="440" w:right="0"/>
        <w:jc w:val="left"/>
        <w:textAlignment w:val="auto"/>
        <w:rPr>
          <w:sz w:val="24"/>
        </w:rPr>
      </w:pPr>
      <w:bookmarkStart w:id="1100" w:name=""/>
      <w:r>
        <w:rPr>
          <w:rFonts w:ascii="宋体" w:cs="宋体" w:eastAsia="宋体" w:hAnsi="宋体"/>
          <w:sz w:val="24"/>
          <w:spacing w:val="0"/>
          <w:b w:val="off"/>
          <w:i w:val="off"/>
        </w:rPr>
        <w:t>针对目标位置不确定或仅知概略区域的场景，系统应能生成高效的覆盖式搜索路径。支持多种经典的搜索模式，如平行线型（栅格）搜索、阿基米德螺旋搜索、扩展方形搜索等，以适应不同形状与大小的搜索区域。系统应根据传感器探测半径自动计算最优的搜索带宽与航路间距，避免漏搜与重叠，提高搜索效率。支持自定义搜索模式的参数化配置。</w:t>
      </w:r>
      <w:bookmarkEnd w:id="1100"/>
    </w:p>
    <w:p>
      <w:pPr>
        <w:pageBreakBefore w:val="off"/>
        <w:numPr>
          <w:ilvl w:val="0"/>
          <w:numId w:val="14"/>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ff"/>
          <w:i w:val="off"/>
        </w:rPr>
        <w:t>在多机协同模式下，系统应规划无重叠或按需重叠（如高优先级区域）的搜索区域，确保多无人机集群的搜索覆盖率达到设定阈值（如XX%以上），避免资源浪费与重复搜索。支持设置搜索优先级区域与搜索深度，实现资源的动态调配与聚焦。支持接力搜索与交叉验证机制。</w:t>
      </w:r>
      <w:bookmarkEnd w:id="1101"/>
    </w:p>
    <w:p>
      <w:pPr>
        <w:pageBreakBefore w:val="off"/>
        <w:numPr>
          <w:ilvl w:val="0"/>
          <w:numId w:val="14"/>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ff"/>
          <w:i w:val="off"/>
        </w:rPr>
        <w:t>搜索路径的密度与模式应能根据任务目标的特征（如雷达的探测距离、开机规律、信号强度、跳频模式）进行自适应调整，提高发现概率。系统应模拟传感器的探测虚警与漏警特性，结合概率搜索理论优化路径，实现智能化搜索与动态调整，提升作战效能。支持根据实时情报更新搜索区域与路径。</w:t>
      </w:r>
      <w:bookmarkEnd w:id="1102"/>
    </w:p>
    <w:p>
      <w:pPr>
        <w:pageBreakBefore w:val="off"/>
        <w:numPr>
          <w:ilvl w:val="0"/>
          <w:numId w:val="14"/>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103"/>
    </w:p>
    <w:p>
      <w:pPr>
        <w:pageBreakBefore w:val="off"/>
        <w:numPr>
          <w:ilvl w:val="0"/>
          <w:numId w:val="15"/>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ff"/>
          <w:i w:val="off"/>
        </w:rPr>
        <w:t>搜索覆盖率≥98%（针对设定的搜索区域，考虑传感器探测概率）。</w:t>
      </w:r>
      <w:bookmarkEnd w:id="1104"/>
    </w:p>
    <w:p>
      <w:pPr>
        <w:pageBreakBefore w:val="off"/>
        <w:numPr>
          <w:ilvl w:val="0"/>
          <w:numId w:val="15"/>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ff"/>
          <w:i w:val="off"/>
        </w:rPr>
        <w:t>多机搜索区域重叠率≤5%（除非战术要求重叠或接力搜索）。</w:t>
      </w:r>
      <w:bookmarkEnd w:id="1105"/>
    </w:p>
    <w:p>
      <w:pPr>
        <w:pageBreakBefore w:val="off"/>
        <w:numPr>
          <w:ilvl w:val="0"/>
          <w:numId w:val="15"/>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ff"/>
          <w:i w:val="off"/>
        </w:rPr>
        <w:t>搜索路径生成时间≤10秒（针对10km×10km的典型区域）。</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n"/>
          <w:i w:val="off"/>
        </w:rPr>
        <w:t>3.1.8 工作参数规划</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n"/>
          <w:i w:val="off"/>
        </w:rPr>
        <w:t>需求标识</w:t>
      </w:r>
      <w:r>
        <w:rPr>
          <w:rFonts w:ascii="宋体" w:cs="宋体" w:eastAsia="宋体" w:hAnsi="宋体"/>
          <w:sz w:val="24"/>
          <w:spacing w:val="0"/>
          <w:b w:val="off"/>
          <w:i w:val="off"/>
        </w:rPr>
        <w:t>：FR-08</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109"/>
    </w:p>
    <w:p>
      <w:pPr>
        <w:pageBreakBefore w:val="off"/>
        <w:numPr>
          <w:ilvl w:val="0"/>
          <w:numId w:val="16"/>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ff"/>
          <w:i w:val="off"/>
        </w:rPr>
        <w:t>系统应根据预设或实时更新的目标雷达参数（如工作频率、脉冲重复频率PRF、脉冲宽度、扫描周期、天线极化方式），智能规划反辐射无人机导引头的工作模式（如全向搜索模式、扇区搜索模式、记忆跟踪模式、窄带高灵敏度跟踪模式）。模式切换需与飞行阶段和威胁等级紧密联动，确保在不同作战阶段发挥最大效能，实现低截获概率探测与抗干扰能力。</w:t>
      </w:r>
      <w:bookmarkEnd w:id="1110"/>
    </w:p>
    <w:p>
      <w:pPr>
        <w:pageBreakBefore w:val="off"/>
        <w:numPr>
          <w:ilvl w:val="0"/>
          <w:numId w:val="16"/>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ff"/>
          <w:i w:val="off"/>
        </w:rPr>
        <w:t>系统需辅助规划引信与战斗部的工作参数，包括触发延迟时间、近炸引信的启动距离、战斗部定向起爆方向等，确保在最佳位置与姿态起爆，以最大化对目标的毁伤效能。系统应基于物理毁伤律模型进行参数优化计算，提供科学依据与毁伤预测，支持不同毁伤等级的设定。</w:t>
      </w:r>
      <w:bookmarkEnd w:id="1111"/>
    </w:p>
    <w:p>
      <w:pPr>
        <w:pageBreakBefore w:val="off"/>
        <w:numPr>
          <w:ilvl w:val="0"/>
          <w:numId w:val="16"/>
        </w:numPr>
        <w:tabs/>
        <w:wordWrap w:val="on"/>
        <w:spacing w:after="0" w:before="160"/>
        <w:ind w:hanging="440" w:left="440" w:right="0"/>
        <w:jc w:val="left"/>
        <w:textAlignment w:val="auto"/>
        <w:rPr>
          <w:sz w:val="24"/>
        </w:rPr>
      </w:pPr>
      <w:bookmarkStart w:id="1112" w:name=""/>
      <w:r>
        <w:rPr>
          <w:rFonts w:ascii="宋体" w:cs="宋体" w:eastAsia="宋体" w:hAnsi="宋体"/>
          <w:sz w:val="24"/>
          <w:spacing w:val="0"/>
          <w:b w:val="off"/>
          <w:i w:val="off"/>
        </w:rPr>
        <w:t>所有工作参数必须与飞行路径进行时空联动，实现动态自适应调整。例如，当无人机进入高威胁区时，自动降低导引头的辐射发射功率或调整搜索扇面，以实现电磁静默突防；在接近目标时，提前解锁战斗部并预置引信，确保打击精度与毁伤效果。支持参数的预编程与实时上注。</w:t>
      </w:r>
      <w:bookmarkEnd w:id="1112"/>
    </w:p>
    <w:p>
      <w:pPr>
        <w:pageBreakBefore w:val="off"/>
        <w:numPr>
          <w:ilvl w:val="0"/>
          <w:numId w:val="16"/>
        </w:numPr>
        <w:tabs/>
        <w:wordWrap w:val="on"/>
        <w:spacing w:after="0" w:before="160"/>
        <w:ind w:hanging="440" w:left="440" w:right="0"/>
        <w:jc w:val="left"/>
        <w:textAlignment w:val="auto"/>
        <w:rPr>
          <w:sz w:val="24"/>
        </w:rPr>
      </w:pPr>
      <w:bookmarkStart w:id="1113"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113"/>
    </w:p>
    <w:p>
      <w:pPr>
        <w:pageBreakBefore w:val="off"/>
        <w:numPr>
          <w:ilvl w:val="0"/>
          <w:numId w:val="17"/>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ff"/>
          <w:i w:val="off"/>
        </w:rPr>
        <w:t>参数规划与飞行路径联动的时间同步误差≤1秒。</w:t>
      </w:r>
      <w:bookmarkEnd w:id="1114"/>
    </w:p>
    <w:p>
      <w:pPr>
        <w:pageBreakBefore w:val="off"/>
        <w:numPr>
          <w:ilvl w:val="0"/>
          <w:numId w:val="17"/>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ff"/>
          <w:i w:val="off"/>
        </w:rPr>
        <w:t>导引头模式切换响应时间≤0.5秒。</w:t>
      </w:r>
      <w:bookmarkEnd w:id="1115"/>
    </w:p>
    <w:p>
      <w:pPr>
        <w:pageBreakBefore w:val="off"/>
        <w:numPr>
          <w:ilvl w:val="0"/>
          <w:numId w:val="17"/>
        </w:numPr>
        <w:tabs/>
        <w:wordWrap w:val="on"/>
        <w:spacing w:after="0" w:before="160"/>
        <w:ind w:hanging="440" w:left="440" w:right="0"/>
        <w:jc w:val="left"/>
        <w:textAlignment w:val="auto"/>
        <w:rPr>
          <w:sz w:val="24"/>
        </w:rPr>
      </w:pPr>
      <w:bookmarkStart w:id="1116" w:name=""/>
      <w:r>
        <w:rPr>
          <w:rFonts w:ascii="宋体" w:cs="宋体" w:eastAsia="宋体" w:hAnsi="宋体"/>
          <w:sz w:val="24"/>
          <w:spacing w:val="0"/>
          <w:b w:val="off"/>
          <w:i w:val="off"/>
        </w:rPr>
        <w:t>战斗部起爆点计算精度误差≤3米（圆概率误差CEP）。</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n"/>
          <w:i w:val="off"/>
        </w:rPr>
        <w:t>3.1.9 协同任务规划</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n"/>
          <w:i w:val="off"/>
        </w:rPr>
        <w:t>需求标识</w:t>
      </w:r>
      <w:r>
        <w:rPr>
          <w:rFonts w:ascii="宋体" w:cs="宋体" w:eastAsia="宋体" w:hAnsi="宋体"/>
          <w:sz w:val="24"/>
          <w:spacing w:val="0"/>
          <w:b w:val="off"/>
          <w:i w:val="off"/>
        </w:rPr>
        <w:t>：FR-09</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n"/>
          <w:i w:val="off"/>
        </w:rPr>
        <w:t>需求描述</w:t>
      </w:r>
      <w:r>
        <w:rPr>
          <w:rFonts w:ascii="宋体" w:cs="宋体" w:eastAsia="宋体" w:hAnsi="宋体"/>
          <w:sz w:val="24"/>
          <w:spacing w:val="0"/>
          <w:b w:val="off"/>
          <w:i w:val="off"/>
        </w:rPr>
        <w:t>：</w:t>
      </w:r>
      <w:bookmarkEnd w:id="1119"/>
    </w:p>
    <w:p>
      <w:pPr>
        <w:pageBreakBefore w:val="off"/>
        <w:numPr>
          <w:ilvl w:val="0"/>
          <w:numId w:val="18"/>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ff"/>
          <w:i w:val="off"/>
        </w:rPr>
        <w:t>系统应支持复杂的多无人机协同战术想定设计与自动化生成，例如“饱和攻击”（多机同时从不同方向攻击以突破防御系统的拦截能力）、“猎杀者-诱饵”协同（一架无人机佯攻吸引火力，另一架实施精确打击）、“接力侦察”（多机接力维持对目标的持续监视与照射）。系统应内置丰富的战术模板库，并支持用户自定义战术脚本，满足多样化作战需求与创新战法验证，支持脚本的调试与复用。</w:t>
      </w:r>
      <w:bookmarkEnd w:id="1120"/>
    </w:p>
    <w:p>
      <w:pPr>
        <w:pageBreakBefore w:val="off"/>
        <w:numPr>
          <w:ilvl w:val="0"/>
          <w:numId w:val="18"/>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ff"/>
          <w:i w:val="off"/>
        </w:rPr>
        <w:t>提供协同约束条件的图形化配置界面，允许用户直观设定严格的时间同步要求（如到达目标的时间差窗口）、空间编队要求（如梯队、楔形、箱形队形）以及通信中继关系。支持设置复杂的逻辑触发条件（如“当A机发现目标后，B机立即启动攻击”），实现智能化的战术协同与自主决策，支持行为树或状态机的可视化编辑。</w:t>
      </w:r>
      <w:bookmarkEnd w:id="1121"/>
    </w:p>
    <w:p>
      <w:pPr>
        <w:pageBreakBefore w:val="off"/>
        <w:numPr>
          <w:ilvl w:val="0"/>
          <w:numId w:val="18"/>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ff"/>
          <w:i w:val="off"/>
        </w:rPr>
        <w:t>系统应自动生成详细的协同作战时序图（Sequence Diagram）与甘特图，直观展示各无人机的任务节点、动作序列与协同关系，确保整个作战流程无缝衔接，无时间或空间冲突，提升指挥员的态势理解能力与指挥控制效率。支持时序图的导出与打印。</w:t>
      </w:r>
      <w:bookmarkEnd w:id="1122"/>
    </w:p>
    <w:p>
      <w:pPr>
        <w:pageBreakBefore w:val="off"/>
        <w:numPr>
          <w:ilvl w:val="0"/>
          <w:numId w:val="18"/>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n"/>
          <w:i w:val="off"/>
        </w:rPr>
        <w:t>量化验收指标</w:t>
      </w:r>
      <w:r>
        <w:rPr>
          <w:rFonts w:ascii="宋体" w:cs="宋体" w:eastAsia="宋体" w:hAnsi="宋体"/>
          <w:sz w:val="24"/>
          <w:spacing w:val="0"/>
          <w:b w:val="off"/>
          <w:i w:val="off"/>
        </w:rPr>
        <w:t>：</w:t>
      </w:r>
      <w:bookmarkEnd w:id="1123"/>
    </w:p>
    <w:p>
      <w:pPr>
        <w:pageBreakBefore w:val="off"/>
        <w:numPr>
          <w:ilvl w:val="0"/>
          <w:numId w:val="19"/>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ff"/>
          <w:i w:val="off"/>
        </w:rPr>
        <w:t>协同时序冲突检测率100%（自动识别并告警时间/空间冲突）。</w:t>
      </w:r>
      <w:bookmarkEnd w:id="1124"/>
    </w:p>
    <w:p>
      <w:pPr>
        <w:pageBreakBefore w:val="off"/>
        <w:numPr>
          <w:ilvl w:val="0"/>
          <w:numId w:val="19"/>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ff"/>
          <w:i w:val="off"/>
        </w:rPr>
        <w:t>多机协同到达时间误差≤2秒（满足饱和攻击等战术要求）。</w:t>
      </w:r>
      <w:bookmarkEnd w:id="1125"/>
    </w:p>
    <w:p>
      <w:pPr>
        <w:pageBreakBefore w:val="off"/>
        <w:numPr>
          <w:ilvl w:val="0"/>
          <w:numId w:val="19"/>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ff"/>
          <w:i w:val="off"/>
        </w:rPr>
        <w:t>支持至少50架无人机的集群协同规划、可视化与冲突消解，具备良好的扩展性。</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n"/>
          <w:i w:val="off"/>
        </w:rPr>
        <w:t>3.2 性能需求</w:t>
      </w:r>
      <w:bookmarkEnd w:id="1127"/>
    </w:p>
    <w:p>
      <w:pPr>
        <w:pageBreakBefore w:val="off"/>
        <w:numPr>
          <w:ilvl w:val="0"/>
          <w:numId w:val="20"/>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n"/>
          <w:i w:val="off"/>
        </w:rPr>
        <w:t>实时性</w:t>
      </w:r>
      <w:r>
        <w:rPr>
          <w:rFonts w:ascii="宋体" w:cs="宋体" w:eastAsia="宋体" w:hAnsi="宋体"/>
          <w:sz w:val="24"/>
          <w:spacing w:val="0"/>
          <w:b w:val="off"/>
          <w:i w:val="off"/>
        </w:rPr>
        <w:t>：在标准测试场景下（包含50个威胁源，100个任务点，30架无人机），路径规划与任务分配算法的平均响应时间应≤10秒，且95%的请求响应时间不超过12秒，满足指挥决策的时效性要求，支持快速重规划与动态调整。</w:t>
      </w:r>
      <w:bookmarkEnd w:id="1128"/>
    </w:p>
    <w:p>
      <w:pPr>
        <w:pageBreakBefore w:val="off"/>
        <w:numPr>
          <w:ilvl w:val="0"/>
          <w:numId w:val="20"/>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n"/>
          <w:i w:val="off"/>
        </w:rPr>
        <w:t>计算精度</w:t>
      </w:r>
      <w:r>
        <w:rPr>
          <w:rFonts w:ascii="宋体" w:cs="宋体" w:eastAsia="宋体" w:hAnsi="宋体"/>
          <w:sz w:val="24"/>
          <w:spacing w:val="0"/>
          <w:b w:val="off"/>
          <w:i w:val="off"/>
        </w:rPr>
        <w:t>：兵力需求计算的推荐值与理论最优值的偏差应≤10%，路径规划的航路点坐标精度应达到厘米级（符合WGS-84坐标系标准），确保仿真的高保真度与结果可信度，满足高精度打击的仿真需求。</w:t>
      </w:r>
      <w:bookmarkEnd w:id="1129"/>
    </w:p>
    <w:p>
      <w:pPr>
        <w:pageBreakBefore w:val="off"/>
        <w:numPr>
          <w:ilvl w:val="0"/>
          <w:numId w:val="20"/>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并发处理能力</w:t>
      </w:r>
      <w:r>
        <w:rPr>
          <w:rFonts w:ascii="宋体" w:cs="宋体" w:eastAsia="宋体" w:hAnsi="宋体"/>
          <w:sz w:val="24"/>
          <w:spacing w:val="0"/>
          <w:b w:val="off"/>
          <w:i w:val="off"/>
        </w:rPr>
        <w:t>：系统应支持同时规划与监控至少5个独立或关联的协同作战任务，且各任务间数据隔离，互不干扰，适应多批次、多方向的复杂作战环境与大规模演习需求，支持任务的分组管理与视图切换。</w:t>
      </w:r>
      <w:bookmarkEnd w:id="1130"/>
    </w:p>
    <w:p>
      <w:pPr>
        <w:pageBreakBefore w:val="off"/>
        <w:numPr>
          <w:ilvl w:val="0"/>
          <w:numId w:val="20"/>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n"/>
          <w:i w:val="off"/>
        </w:rPr>
        <w:t>数据吞吐量</w:t>
      </w:r>
      <w:r>
        <w:rPr>
          <w:rFonts w:ascii="宋体" w:cs="宋体" w:eastAsia="宋体" w:hAnsi="宋体"/>
          <w:sz w:val="24"/>
          <w:spacing w:val="0"/>
          <w:b w:val="off"/>
          <w:i w:val="off"/>
        </w:rPr>
        <w:t>：模块与引擎间的数据更新频率应≥20次/秒，确保仿真过程的流畅性与实时性，数据丢包率&lt;0.1%，保证指挥指令的准确下达与态势反馈的及时性，满足高速动态环境下的数据同步要求。</w:t>
      </w:r>
      <w:bookmarkEnd w:id="1131"/>
    </w:p>
    <w:p>
      <w:pPr>
        <w:pageBreakBefore w:val="off"/>
        <w:numPr>
          <w:ilvl w:val="0"/>
          <w:numId w:val="20"/>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n"/>
          <w:i w:val="off"/>
        </w:rPr>
        <w:t>资源占用</w:t>
      </w:r>
      <w:r>
        <w:rPr>
          <w:rFonts w:ascii="宋体" w:cs="宋体" w:eastAsia="宋体" w:hAnsi="宋体"/>
          <w:sz w:val="24"/>
          <w:spacing w:val="0"/>
          <w:b w:val="off"/>
          <w:i w:val="off"/>
        </w:rPr>
        <w:t>：在满负荷运行时，CPU与内存占用率不应持续超过硬件配置的80%，且无内存泄漏现象，支持72小时以上长时间稳定运行，满足高强度训练与测试需求，具备良好的系统健壮性与稳定性。</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n"/>
          <w:i w:val="off"/>
        </w:rPr>
        <w:t>3.3 接口需求</w:t>
      </w:r>
      <w:bookmarkEnd w:id="1133"/>
    </w:p>
    <w:p>
      <w:pPr>
        <w:pageBreakBefore w:val="off"/>
        <w:numPr>
          <w:ilvl w:val="0"/>
          <w:numId w:val="21"/>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n"/>
          <w:i w:val="off"/>
        </w:rPr>
        <w:t>输入接口</w:t>
      </w:r>
      <w:r>
        <w:rPr>
          <w:rFonts w:ascii="宋体" w:cs="宋体" w:eastAsia="宋体" w:hAnsi="宋体"/>
          <w:sz w:val="24"/>
          <w:spacing w:val="0"/>
          <w:b w:val="off"/>
          <w:i w:val="off"/>
        </w:rPr>
        <w:t>：实时接收来自外部仿真节点或内部模块的GIS地形数据、动态气象参数、敌我双方兵力资源数据及威胁情报更新。接口需支持断线重连与数据缓存机制，保证数据流的连续性与完整性，具备容错能力与数据校验机制。</w:t>
      </w:r>
      <w:bookmarkEnd w:id="1134"/>
    </w:p>
    <w:p>
      <w:pPr>
        <w:pageBreakBefore w:val="off"/>
        <w:numPr>
          <w:ilvl w:val="0"/>
          <w:numId w:val="21"/>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输出接口</w:t>
      </w:r>
      <w:r>
        <w:rPr>
          <w:rFonts w:ascii="宋体" w:cs="宋体" w:eastAsia="宋体" w:hAnsi="宋体"/>
          <w:sz w:val="24"/>
          <w:spacing w:val="0"/>
          <w:b w:val="off"/>
          <w:i w:val="off"/>
        </w:rPr>
        <w:t>：生成标准化的任务计划文件（建议采用XML或JSON格式，符合GJB数据标准）、规划好的路径坐标集（支持KML格式导出供第三方查看）、以及详细的兵力需求与毁伤评估报告。输出数据需带数字签名，确保防篡改与可追溯性，满足审计要求与数据归档标准。</w:t>
      </w:r>
      <w:bookmarkEnd w:id="1135"/>
    </w:p>
    <w:p>
      <w:pPr>
        <w:pageBreakBefore w:val="off"/>
        <w:numPr>
          <w:ilvl w:val="0"/>
          <w:numId w:val="21"/>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通信协议</w:t>
      </w:r>
      <w:r>
        <w:rPr>
          <w:rFonts w:ascii="宋体" w:cs="宋体" w:eastAsia="宋体" w:hAnsi="宋体"/>
          <w:sz w:val="24"/>
          <w:spacing w:val="0"/>
          <w:b w:val="off"/>
          <w:i w:val="off"/>
        </w:rPr>
        <w:t>：网络通信必须符合GJB XXXX规定的军用通信协议，支持数据的端到端加密传输，防止敏感信息泄露。需支持有线以太网与无线战术数据链双模通信，适应不同部署环境与实战化要求，确保通信的可靠性与安全性。</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n"/>
          <w:i w:val="off"/>
        </w:rPr>
        <w:t>3.4 数据需求</w:t>
      </w:r>
      <w:bookmarkEnd w:id="1137"/>
    </w:p>
    <w:p>
      <w:pPr>
        <w:pageBreakBefore w:val="off"/>
        <w:numPr>
          <w:ilvl w:val="0"/>
          <w:numId w:val="22"/>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n"/>
          <w:i w:val="off"/>
        </w:rPr>
        <w:t>任务数据</w:t>
      </w:r>
      <w:r>
        <w:rPr>
          <w:rFonts w:ascii="宋体" w:cs="宋体" w:eastAsia="宋体" w:hAnsi="宋体"/>
          <w:sz w:val="24"/>
          <w:spacing w:val="0"/>
          <w:b w:val="off"/>
          <w:i w:val="off"/>
        </w:rPr>
        <w:t>：包含任务标识、名称、类型、目标清单（坐标、属性）、时间轴、执行状态、毁伤评估结果等，数据保留周期不少于5年，支持大数据分析与战例回放，为战法研究与复盘推演提供数据支撑，支持数据的挖掘与知识发现。</w:t>
      </w:r>
      <w:bookmarkEnd w:id="1138"/>
    </w:p>
    <w:p>
      <w:pPr>
        <w:pageBreakBefore w:val="off"/>
        <w:numPr>
          <w:ilvl w:val="0"/>
          <w:numId w:val="22"/>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n"/>
          <w:i w:val="off"/>
        </w:rPr>
        <w:t>环境数据</w:t>
      </w:r>
      <w:r>
        <w:rPr>
          <w:rFonts w:ascii="宋体" w:cs="宋体" w:eastAsia="宋体" w:hAnsi="宋体"/>
          <w:sz w:val="24"/>
          <w:spacing w:val="0"/>
          <w:b w:val="off"/>
          <w:i w:val="off"/>
        </w:rPr>
        <w:t>：包含高程数据（DEM）、地物特征（植被、水体、建筑物）、气象场数据（风场、温压湿）、电磁环境分布图（频谱占用、干扰源位置），数据更新频率支持毫秒级动态刷新，反映战场环境的瞬息万变与动态对抗特性，支持历史环境数据的回放与复现。</w:t>
      </w:r>
      <w:bookmarkEnd w:id="1139"/>
    </w:p>
    <w:p>
      <w:pPr>
        <w:pageBreakBefore w:val="off"/>
        <w:numPr>
          <w:ilvl w:val="0"/>
          <w:numId w:val="22"/>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兵力数据</w:t>
      </w:r>
      <w:r>
        <w:rPr>
          <w:rFonts w:ascii="宋体" w:cs="宋体" w:eastAsia="宋体" w:hAnsi="宋体"/>
          <w:sz w:val="24"/>
          <w:spacing w:val="0"/>
          <w:b w:val="off"/>
          <w:i w:val="off"/>
        </w:rPr>
        <w:t>：包含无人机型号、动力学模型参数（气动系数、发动机模型）、传感器探测范围与模型、武器挂载能力、通信距离与带宽等，支持自定义扩展与插件式加载，适应新装备的快速接入与模型迭代，具备良好的扩展性与开放性。</w:t>
      </w:r>
      <w:bookmarkEnd w:id="1140"/>
    </w:p>
    <w:p>
      <w:pPr>
        <w:pageBreakBefore w:val="off"/>
        <w:numPr>
          <w:ilvl w:val="0"/>
          <w:numId w:val="22"/>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n"/>
          <w:i w:val="off"/>
        </w:rPr>
        <w:t>存储与安全</w:t>
      </w:r>
      <w:r>
        <w:rPr>
          <w:rFonts w:ascii="宋体" w:cs="宋体" w:eastAsia="宋体" w:hAnsi="宋体"/>
          <w:sz w:val="24"/>
          <w:spacing w:val="0"/>
          <w:b w:val="off"/>
          <w:i w:val="off"/>
        </w:rPr>
        <w:t>：所有敏感数据需符合军用数据库安全标准，支持离线加密存储与异地备份，具备防篡改机制与快速灾备恢复能力，确保数据资产的绝对安全与业务连续性，满足等级保护要求。</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n"/>
          <w:i w:val="off"/>
        </w:rPr>
        <w:t>3.5 安全性需求</w:t>
      </w:r>
      <w:bookmarkEnd w:id="1142"/>
    </w:p>
    <w:p>
      <w:pPr>
        <w:pageBreakBefore w:val="off"/>
        <w:numPr>
          <w:ilvl w:val="0"/>
          <w:numId w:val="23"/>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数据安全</w:t>
      </w:r>
      <w:r>
        <w:rPr>
          <w:rFonts w:ascii="宋体" w:cs="宋体" w:eastAsia="宋体" w:hAnsi="宋体"/>
          <w:sz w:val="24"/>
          <w:spacing w:val="0"/>
          <w:b w:val="off"/>
          <w:i w:val="off"/>
        </w:rPr>
        <w:t>：所有涉及任务规划的核心数据在存储和网络传输过程中必须进行高强度加密（如国密算法SM4或AES-256），密钥定期轮换，防止数据窃取与非法访问，确保信息保密性与完整性，满足涉密信息系统的要求。</w:t>
      </w:r>
      <w:bookmarkEnd w:id="1143"/>
    </w:p>
    <w:p>
      <w:pPr>
        <w:pageBreakBefore w:val="off"/>
        <w:numPr>
          <w:ilvl w:val="0"/>
          <w:numId w:val="23"/>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访问控制</w:t>
      </w:r>
      <w:r>
        <w:rPr>
          <w:rFonts w:ascii="宋体" w:cs="宋体" w:eastAsia="宋体" w:hAnsi="宋体"/>
          <w:sz w:val="24"/>
          <w:spacing w:val="0"/>
          <w:b w:val="off"/>
          <w:i w:val="off"/>
        </w:rPr>
        <w:t>：系统必须建立完善的用户权限管理体系（基于角色的访问控制RBAC模型），严格区分操作员、战术规划员与系统管理员的权限，防止越权操作。登录需支持双因素认证（如密码+USB Key），确保账户安全与操作可追溯，记录详细的登录与操作日志。</w:t>
      </w:r>
      <w:bookmarkEnd w:id="1144"/>
    </w:p>
    <w:p>
      <w:pPr>
        <w:pageBreakBefore w:val="off"/>
        <w:numPr>
          <w:ilvl w:val="0"/>
          <w:numId w:val="23"/>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审计追踪</w:t>
      </w:r>
      <w:r>
        <w:rPr>
          <w:rFonts w:ascii="宋体" w:cs="宋体" w:eastAsia="宋体" w:hAnsi="宋体"/>
          <w:sz w:val="24"/>
          <w:spacing w:val="0"/>
          <w:b w:val="off"/>
          <w:i w:val="off"/>
        </w:rPr>
        <w:t>：记录所有关键操作日志，包括任务创建/修改、参数调整、规划执行、数据导出等，日志保留不少于180天，以便事后复盘分析、责任追溯与安全审计，形成完整的操作证据链，满足合规性要求。</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n"/>
          <w:i w:val="off"/>
        </w:rPr>
        <w:t>4. 验证与确认</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4.1 验证方法</w:t>
      </w:r>
      <w:bookmarkEnd w:id="1147"/>
    </w:p>
    <w:p>
      <w:pPr>
        <w:pageBreakBefore w:val="off"/>
        <w:numPr>
          <w:ilvl w:val="0"/>
          <w:numId w:val="24"/>
        </w:numPr>
        <w:tabs/>
        <w:wordWrap w:val="on"/>
        <w:spacing w:after="0" w:before="160"/>
        <w:ind w:hanging="440" w:left="440" w:right="0"/>
        <w:jc w:val="left"/>
        <w:textAlignment w:val="auto"/>
        <w:rPr>
          <w:sz w:val="24"/>
        </w:rPr>
      </w:pPr>
      <w:bookmarkStart w:id="1148" w:name=""/>
      <w:r>
        <w:rPr>
          <w:rFonts w:ascii="宋体" w:cs="宋体" w:eastAsia="宋体" w:hAnsi="宋体"/>
          <w:sz w:val="24"/>
          <w:spacing w:val="0"/>
          <w:b w:val="on"/>
          <w:i w:val="off"/>
        </w:rPr>
        <w:t>功能测试</w:t>
      </w:r>
      <w:r>
        <w:rPr>
          <w:rFonts w:ascii="宋体" w:cs="宋体" w:eastAsia="宋体" w:hAnsi="宋体"/>
          <w:sz w:val="24"/>
          <w:spacing w:val="0"/>
          <w:b w:val="off"/>
          <w:i w:val="off"/>
        </w:rPr>
        <w:t>：依据本需求文档的每一条功能描述，设计详尽的测试用例，进行黑盒与灰盒测试，逐项验证功能的完备性、正确性以及异常处理能力。测试需覆盖边界条件、异常流程及容错能力，确保系统健壮与符合需求，支持自动化测试脚本的执行。</w:t>
      </w:r>
      <w:bookmarkEnd w:id="1148"/>
    </w:p>
    <w:p>
      <w:pPr>
        <w:pageBreakBefore w:val="off"/>
        <w:numPr>
          <w:ilvl w:val="0"/>
          <w:numId w:val="24"/>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n"/>
          <w:i w:val="off"/>
        </w:rPr>
        <w:t>性能测试</w:t>
      </w:r>
      <w:r>
        <w:rPr>
          <w:rFonts w:ascii="宋体" w:cs="宋体" w:eastAsia="宋体" w:hAnsi="宋体"/>
          <w:sz w:val="24"/>
          <w:spacing w:val="0"/>
          <w:b w:val="off"/>
          <w:i w:val="off"/>
        </w:rPr>
        <w:t>：使用自动化压力测试工具，模拟大规模任务场景（如100架无人机，200个目标），测试系统的响应时间、吞吐量及资源占用情况，验证是否满足性能指标。需进行72小时稳定性烤机测试，检查内存泄漏与系统衰减情况，确保长期运行稳定，满足高强度使用需求。</w:t>
      </w:r>
      <w:bookmarkEnd w:id="1149"/>
    </w:p>
    <w:p>
      <w:pPr>
        <w:pageBreakBefore w:val="off"/>
        <w:numPr>
          <w:ilvl w:val="0"/>
          <w:numId w:val="24"/>
        </w:numPr>
        <w:tabs/>
        <w:wordWrap w:val="on"/>
        <w:spacing w:after="0" w:before="160"/>
        <w:ind w:hanging="440" w:left="440" w:right="0"/>
        <w:jc w:val="left"/>
        <w:textAlignment w:val="auto"/>
        <w:rPr>
          <w:sz w:val="24"/>
        </w:rPr>
      </w:pPr>
      <w:bookmarkStart w:id="1150" w:name=""/>
      <w:r>
        <w:rPr>
          <w:rFonts w:ascii="宋体" w:cs="宋体" w:eastAsia="宋体" w:hAnsi="宋体"/>
          <w:sz w:val="24"/>
          <w:spacing w:val="0"/>
          <w:b w:val="on"/>
          <w:i w:val="off"/>
        </w:rPr>
        <w:t>仿真验证</w:t>
      </w:r>
      <w:r>
        <w:rPr>
          <w:rFonts w:ascii="宋体" w:cs="宋体" w:eastAsia="宋体" w:hAnsi="宋体"/>
          <w:sz w:val="24"/>
          <w:spacing w:val="0"/>
          <w:b w:val="off"/>
          <w:i w:val="off"/>
        </w:rPr>
        <w:t>：构建多个典型及极限的作战想定场景（如高威胁密度区、复杂气象条件、强电磁干扰），通过全数字仿真或硬件在环（HIL）仿真，评估任务规划方案的合理性、无人机生存概率及作战效能指标，验证战术有效性与算法优越性，对比人工规划方案进行效能评估。</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n"/>
          <w:i w:val="off"/>
        </w:rPr>
        <w:t>4.2 确认准则</w:t>
      </w:r>
      <w:bookmarkEnd w:id="1151"/>
    </w:p>
    <w:p>
      <w:pPr>
        <w:pageBreakBefore w:val="off"/>
        <w:numPr>
          <w:ilvl w:val="0"/>
          <w:numId w:val="25"/>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ff"/>
          <w:i w:val="off"/>
        </w:rPr>
        <w:t>所有需求项（包括必选与可选）均通过了对应的测试用例验证，无重大缺陷（Critical Bug）遗留，且严重缺陷（Major Bug）修复率100%，遗留缺陷不影响核心功能的正常使用与数据安全，系统达到交付状态，满足用户需求。</w:t>
      </w:r>
      <w:bookmarkEnd w:id="1152"/>
    </w:p>
    <w:p>
      <w:pPr>
        <w:pageBreakBefore w:val="off"/>
        <w:numPr>
          <w:ilvl w:val="0"/>
          <w:numId w:val="25"/>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ff"/>
          <w:i w:val="off"/>
        </w:rPr>
        <w:t>系统的各项性能参数实测结果满足或优于第3.2章节规定的设计要求，且在极限负载下系统不崩溃，具备良好的降级处理能力与资源调度策略，用户体验流畅，无明显卡顿或延迟，满足实战化使用标准。</w:t>
      </w:r>
      <w:bookmarkEnd w:id="1153"/>
    </w:p>
    <w:p>
      <w:pPr>
        <w:pageBreakBefore w:val="off"/>
        <w:numPr>
          <w:ilvl w:val="0"/>
          <w:numId w:val="25"/>
        </w:numPr>
        <w:tabs/>
        <w:wordWrap w:val="on"/>
        <w:spacing w:after="0" w:before="160"/>
        <w:ind w:hanging="440" w:left="440" w:right="0"/>
        <w:jc w:val="left"/>
        <w:textAlignment w:val="auto"/>
        <w:rPr>
          <w:sz w:val="24"/>
        </w:rPr>
      </w:pPr>
      <w:bookmarkStart w:id="1154" w:name=""/>
      <w:r>
        <w:rPr>
          <w:rFonts w:ascii="宋体" w:cs="宋体" w:eastAsia="宋体" w:hAnsi="宋体"/>
          <w:sz w:val="24"/>
          <w:spacing w:val="0"/>
          <w:b w:val="off"/>
          <w:i w:val="off"/>
        </w:rPr>
        <w:t>文档的编写格式、术语使用、需求追踪矩阵均完全符合GJB 438C的规范要求，具备完整的可追溯性报告，从需求到设计、代码、测试用例一一对应，形成闭环管理，满足军用软件的高可靠性标准与全生命周期管控要求。</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n"/>
          <w:i w:val="off"/>
        </w:rPr>
        <w:t>5. 附录</w:t>
      </w:r>
      <w:bookmarkEnd w:id="1155"/>
    </w:p>
    <w:p>
      <w:pPr>
        <w:pageBreakBefore w:val="off"/>
        <w:numPr>
          <w:ilvl w:val="0"/>
          <w:numId w:val="26"/>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n"/>
          <w:i w:val="off"/>
        </w:rPr>
        <w:t>附录A</w:t>
      </w:r>
      <w:r>
        <w:rPr>
          <w:rFonts w:ascii="宋体" w:cs="宋体" w:eastAsia="宋体" w:hAnsi="宋体"/>
          <w:sz w:val="24"/>
          <w:spacing w:val="0"/>
          <w:b w:val="off"/>
          <w:i w:val="off"/>
        </w:rPr>
        <w:t>：术语与缩略语（定义文档中使用的关键军事术语与技术缩写，如SEAD、UAV、PRF、CEP、HVT、HTT等，确保理解的一致性与专业性）</w:t>
      </w:r>
      <w:bookmarkEnd w:id="1156"/>
    </w:p>
    <w:p>
      <w:pPr>
        <w:pageBreakBefore w:val="off"/>
        <w:numPr>
          <w:ilvl w:val="0"/>
          <w:numId w:val="26"/>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n"/>
          <w:i w:val="off"/>
        </w:rPr>
        <w:t>附录B</w:t>
      </w:r>
      <w:r>
        <w:rPr>
          <w:rFonts w:ascii="宋体" w:cs="宋体" w:eastAsia="宋体" w:hAnsi="宋体"/>
          <w:sz w:val="24"/>
          <w:spacing w:val="0"/>
          <w:b w:val="off"/>
          <w:i w:val="off"/>
        </w:rPr>
        <w:t>：数据字典（详细定义所有输入输出数据的结构、类型、取值范围、单位及约束条件，符合GJB数据标准，为开发与测试提供精确依据）</w:t>
      </w:r>
      <w:bookmarkEnd w:id="1157"/>
    </w:p>
    <w:p>
      <w:pPr>
        <w:pageBreakBefore w:val="off"/>
        <w:numPr>
          <w:ilvl w:val="0"/>
          <w:numId w:val="26"/>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n"/>
          <w:i w:val="off"/>
        </w:rPr>
        <w:t>附录C</w:t>
      </w:r>
      <w:r>
        <w:rPr>
          <w:rFonts w:ascii="宋体" w:cs="宋体" w:eastAsia="宋体" w:hAnsi="宋体"/>
          <w:sz w:val="24"/>
          <w:spacing w:val="0"/>
          <w:b w:val="off"/>
          <w:i w:val="off"/>
        </w:rPr>
        <w:t>：接口协议说明（详细描述API接口或消息队列的通信格式、报文结构、序列化方式及错误码定义，确保系统集成顺畅与互操作性）</w:t>
      </w:r>
      <w:bookmarkEnd w:id="1158"/>
    </w:p>
    <w:p>
      <w:pPr>
        <w:pageBreakBefore w:val="off"/>
        <w:numPr>
          <w:ilvl w:val="0"/>
          <w:numId w:val="26"/>
        </w:numPr>
        <w:tabs/>
        <w:wordWrap w:val="on"/>
        <w:spacing w:after="0" w:before="160"/>
        <w:ind w:hanging="440" w:left="440" w:right="0"/>
        <w:jc w:val="left"/>
        <w:textAlignment w:val="auto"/>
        <w:rPr>
          <w:sz w:val="24"/>
        </w:rPr>
      </w:pPr>
      <w:bookmarkStart w:id="1159" w:name=""/>
      <w:r>
        <w:rPr>
          <w:rFonts w:ascii="宋体" w:cs="宋体" w:eastAsia="宋体" w:hAnsi="宋体"/>
          <w:sz w:val="24"/>
          <w:spacing w:val="0"/>
          <w:b w:val="on"/>
          <w:i w:val="off"/>
        </w:rPr>
        <w:t>附录D</w:t>
      </w:r>
      <w:r>
        <w:rPr>
          <w:rFonts w:ascii="宋体" w:cs="宋体" w:eastAsia="宋体" w:hAnsi="宋体"/>
          <w:sz w:val="24"/>
          <w:spacing w:val="0"/>
          <w:b w:val="off"/>
          <w:i w:val="off"/>
        </w:rPr>
        <w:t>：典型作战场景示例（提供标准测试用例的场景描述、想定配置、约束条件及预期的规划结果，用于回归测试、人员培训与算法基准测试）</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n"/>
          <w:i w:val="off"/>
        </w:rPr>
        <w:t>6. 变更记录</w:t>
      </w:r>
      <w:bookmarkEnd w:id="1160"/>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161" w:name=""/>
            <w:r>
              <w:rPr>
                <w:rFonts w:ascii="宋体" w:cs="宋体" w:eastAsia="宋体" w:hAnsi="宋体"/>
                <w:sz w:val="24"/>
                <w:spacing w:val="0"/>
                <w:b w:val="off"/>
                <w:i w:val="off"/>
              </w:rPr>
              <w:t>版本</w:t>
            </w:r>
            <w:bookmarkEnd w:id="1161"/>
          </w:p>
        </w:tc>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162" w:name=""/>
            <w:r>
              <w:rPr>
                <w:rFonts w:ascii="宋体" w:cs="宋体" w:eastAsia="宋体" w:hAnsi="宋体"/>
                <w:sz w:val="24"/>
                <w:spacing w:val="0"/>
                <w:b w:val="off"/>
                <w:i w:val="off"/>
              </w:rPr>
              <w:t>变更内容</w:t>
            </w:r>
            <w:bookmarkEnd w:id="1162"/>
          </w:p>
        </w:tc>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163" w:name=""/>
            <w:r>
              <w:rPr>
                <w:rFonts w:ascii="宋体" w:cs="宋体" w:eastAsia="宋体" w:hAnsi="宋体"/>
                <w:sz w:val="24"/>
                <w:spacing w:val="0"/>
                <w:b w:val="off"/>
                <w:i w:val="off"/>
              </w:rPr>
              <w:t>变更人</w:t>
            </w:r>
            <w:bookmarkEnd w:id="1163"/>
          </w:p>
        </w:tc>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164" w:name=""/>
            <w:r>
              <w:rPr>
                <w:rFonts w:ascii="宋体" w:cs="宋体" w:eastAsia="宋体" w:hAnsi="宋体"/>
                <w:sz w:val="24"/>
                <w:spacing w:val="0"/>
                <w:b w:val="off"/>
                <w:i w:val="off"/>
              </w:rPr>
              <w:t>日期</w:t>
            </w:r>
            <w:bookmarkEnd w:id="1164"/>
          </w:p>
        </w:tc>
      </w:tr>
      <w:tr>
        <w:tc>
          <w:tcPr>
            <w:tcW w:type="dxa" w:w="2060"/>
          </w:tcPr>
          <w:p>
            <w:pPr>
              <w:pageBreakBefore w:val="off"/>
              <w:tabs/>
              <w:wordWrap w:val="on"/>
              <w:spacing w:after="0" w:before="0"/>
              <w:ind w:firstLine="0" w:hanging="0" w:left="0" w:right="0"/>
              <w:jc w:val="left"/>
              <w:textAlignment w:val="auto"/>
              <w:rPr>
                <w:sz w:val="24"/>
              </w:rPr>
            </w:pPr>
            <w:bookmarkStart w:id="1165" w:name=""/>
            <w:r>
              <w:rPr>
                <w:rFonts w:ascii="宋体" w:cs="宋体" w:eastAsia="宋体" w:hAnsi="宋体"/>
                <w:sz w:val="24"/>
                <w:spacing w:val="0"/>
                <w:b w:val="off"/>
                <w:i w:val="off"/>
              </w:rPr>
              <w:t>V1.0</w:t>
            </w:r>
            <w:bookmarkEnd w:id="1165"/>
          </w:p>
        </w:tc>
        <w:tc>
          <w:tcPr>
            <w:tcW w:type="dxa" w:w="2060"/>
          </w:tcPr>
          <w:p>
            <w:pPr>
              <w:pageBreakBefore w:val="off"/>
              <w:tabs/>
              <w:wordWrap w:val="on"/>
              <w:spacing w:after="0" w:before="0"/>
              <w:ind w:firstLine="0" w:hanging="0" w:left="0" w:right="0"/>
              <w:jc w:val="left"/>
              <w:textAlignment w:val="auto"/>
              <w:rPr>
                <w:sz w:val="24"/>
              </w:rPr>
            </w:pPr>
            <w:bookmarkStart w:id="1166" w:name=""/>
            <w:r>
              <w:rPr>
                <w:rFonts w:ascii="宋体" w:cs="宋体" w:eastAsia="宋体" w:hAnsi="宋体"/>
                <w:sz w:val="24"/>
                <w:spacing w:val="0"/>
                <w:b w:val="off"/>
                <w:i w:val="off"/>
              </w:rPr>
              <w:t>初始版本发布，完成基础功能框架定义</w:t>
            </w:r>
            <w:bookmarkEnd w:id="1166"/>
          </w:p>
        </w:tc>
        <w:tc>
          <w:tcPr>
            <w:tcW w:type="dxa" w:w="2060"/>
          </w:tcPr>
          <w:p>
            <w:pPr>
              <w:pageBreakBefore w:val="off"/>
              <w:tabs/>
              <w:wordWrap w:val="on"/>
              <w:spacing w:after="0" w:before="0"/>
              <w:ind w:firstLine="0" w:hanging="0" w:left="0" w:right="0"/>
              <w:jc w:val="left"/>
              <w:textAlignment w:val="auto"/>
              <w:rPr>
                <w:sz w:val="24"/>
              </w:rPr>
            </w:pPr>
            <w:bookmarkStart w:id="1167" w:name=""/>
            <w:r>
              <w:rPr>
                <w:rFonts w:ascii="宋体" w:cs="宋体" w:eastAsia="宋体" w:hAnsi="宋体"/>
                <w:sz w:val="24"/>
                <w:spacing w:val="0"/>
                <w:b w:val="off"/>
                <w:i w:val="off"/>
              </w:rPr>
              <w:t>XXX</w:t>
            </w:r>
            <w:bookmarkEnd w:id="1167"/>
          </w:p>
        </w:tc>
        <w:tc>
          <w:tcPr>
            <w:tcW w:type="dxa" w:w="2060"/>
          </w:tcPr>
          <w:p>
            <w:pPr>
              <w:pageBreakBefore w:val="off"/>
              <w:tabs/>
              <w:wordWrap w:val="on"/>
              <w:spacing w:after="0" w:before="0"/>
              <w:ind w:firstLine="0" w:hanging="0" w:left="0" w:right="0"/>
              <w:jc w:val="left"/>
              <w:textAlignment w:val="auto"/>
              <w:rPr>
                <w:sz w:val="24"/>
              </w:rPr>
            </w:pPr>
            <w:bookmarkStart w:id="1168" w:name=""/>
            <w:r>
              <w:rPr>
                <w:rFonts w:ascii="宋体" w:cs="宋体" w:eastAsia="宋体" w:hAnsi="宋体"/>
                <w:sz w:val="24"/>
                <w:spacing w:val="0"/>
                <w:b w:val="off"/>
                <w:i w:val="off"/>
              </w:rPr>
              <w:t>XXXX</w:t>
            </w:r>
            <w:bookmarkEnd w:id="1168"/>
          </w:p>
        </w:tc>
      </w:tr>
      <w:tr>
        <w:tc>
          <w:tcPr>
            <w:tcW w:type="dxa" w:w="2060"/>
          </w:tcPr>
          <w:p>
            <w:pPr>
              <w:pageBreakBefore w:val="off"/>
              <w:tabs/>
              <w:wordWrap w:val="on"/>
              <w:spacing w:after="0" w:before="0"/>
              <w:ind w:firstLine="0" w:hanging="0" w:left="0" w:right="0"/>
              <w:jc w:val="left"/>
              <w:textAlignment w:val="auto"/>
              <w:rPr>
                <w:sz w:val="24"/>
              </w:rPr>
            </w:pPr>
            <w:bookmarkStart w:id="1169" w:name=""/>
            <w:r>
              <w:rPr>
                <w:rFonts w:ascii="宋体" w:cs="宋体" w:eastAsia="宋体" w:hAnsi="宋体"/>
                <w:sz w:val="24"/>
                <w:spacing w:val="0"/>
                <w:b w:val="off"/>
                <w:i w:val="off"/>
              </w:rPr>
              <w:t>V1.1</w:t>
            </w:r>
            <w:bookmarkEnd w:id="1169"/>
          </w:p>
        </w:tc>
        <w:tc>
          <w:tcPr>
            <w:tcW w:type="dxa" w:w="2060"/>
          </w:tcPr>
          <w:p>
            <w:pPr>
              <w:pageBreakBefore w:val="off"/>
              <w:tabs/>
              <w:wordWrap w:val="on"/>
              <w:spacing w:after="0" w:before="0"/>
              <w:ind w:firstLine="0" w:hanging="0" w:left="0" w:right="0"/>
              <w:jc w:val="left"/>
              <w:textAlignment w:val="auto"/>
              <w:rPr>
                <w:sz w:val="24"/>
              </w:rPr>
            </w:pPr>
            <w:bookmarkStart w:id="1170" w:name=""/>
            <w:r>
              <w:rPr>
                <w:rFonts w:ascii="宋体" w:cs="宋体" w:eastAsia="宋体" w:hAnsi="宋体"/>
                <w:sz w:val="24"/>
                <w:spacing w:val="0"/>
                <w:b w:val="off"/>
                <w:i w:val="off"/>
              </w:rPr>
              <w:t>增加电磁环境对导引头探测性能影响的约束描述</w:t>
            </w:r>
            <w:bookmarkEnd w:id="1170"/>
          </w:p>
        </w:tc>
        <w:tc>
          <w:tcPr>
            <w:tcW w:type="dxa" w:w="2060"/>
          </w:tcPr>
          <w:p>
            <w:pPr>
              <w:pageBreakBefore w:val="off"/>
              <w:tabs/>
              <w:wordWrap w:val="on"/>
              <w:spacing w:after="0" w:before="0"/>
              <w:ind w:firstLine="0" w:hanging="0" w:left="0" w:right="0"/>
              <w:jc w:val="left"/>
              <w:textAlignment w:val="auto"/>
              <w:rPr>
                <w:sz w:val="24"/>
              </w:rPr>
            </w:pPr>
            <w:bookmarkStart w:id="1171" w:name=""/>
            <w:r>
              <w:rPr>
                <w:rFonts w:ascii="宋体" w:cs="宋体" w:eastAsia="宋体" w:hAnsi="宋体"/>
                <w:sz w:val="24"/>
                <w:spacing w:val="0"/>
                <w:b w:val="off"/>
                <w:i w:val="off"/>
              </w:rPr>
              <w:t>XXX</w:t>
            </w:r>
            <w:bookmarkEnd w:id="1171"/>
          </w:p>
        </w:tc>
        <w:tc>
          <w:tcPr>
            <w:tcW w:type="dxa" w:w="2060"/>
          </w:tcPr>
          <w:p>
            <w:pPr>
              <w:pageBreakBefore w:val="off"/>
              <w:tabs/>
              <w:wordWrap w:val="on"/>
              <w:spacing w:after="0" w:before="0"/>
              <w:ind w:firstLine="0" w:hanging="0" w:left="0" w:right="0"/>
              <w:jc w:val="left"/>
              <w:textAlignment w:val="auto"/>
              <w:rPr>
                <w:sz w:val="24"/>
              </w:rPr>
            </w:pPr>
            <w:bookmarkStart w:id="1172" w:name=""/>
            <w:r>
              <w:rPr>
                <w:rFonts w:ascii="宋体" w:cs="宋体" w:eastAsia="宋体" w:hAnsi="宋体"/>
                <w:sz w:val="24"/>
                <w:spacing w:val="0"/>
                <w:b w:val="off"/>
                <w:i w:val="off"/>
              </w:rPr>
              <w:t>XXXX</w:t>
            </w:r>
            <w:bookmarkEnd w:id="1172"/>
          </w:p>
        </w:tc>
      </w:tr>
      <w:tr>
        <w:tc>
          <w:tcPr>
            <w:tcW w:type="dxa" w:w="2060"/>
          </w:tcPr>
          <w:p>
            <w:pPr>
              <w:pageBreakBefore w:val="off"/>
              <w:tabs/>
              <w:wordWrap w:val="on"/>
              <w:spacing w:after="0" w:before="0"/>
              <w:ind w:firstLine="0" w:hanging="0" w:left="0" w:right="0"/>
              <w:jc w:val="left"/>
              <w:textAlignment w:val="auto"/>
              <w:rPr>
                <w:sz w:val="24"/>
              </w:rPr>
            </w:pPr>
            <w:bookmarkStart w:id="1173" w:name=""/>
            <w:r>
              <w:rPr>
                <w:rFonts w:ascii="宋体" w:cs="宋体" w:eastAsia="宋体" w:hAnsi="宋体"/>
                <w:sz w:val="24"/>
                <w:spacing w:val="0"/>
                <w:b w:val="off"/>
                <w:i w:val="off"/>
              </w:rPr>
              <w:t>V1.2</w:t>
            </w:r>
            <w:bookmarkEnd w:id="1173"/>
          </w:p>
        </w:tc>
        <w:tc>
          <w:tcPr>
            <w:tcW w:type="dxa" w:w="2060"/>
          </w:tcPr>
          <w:p>
            <w:pPr>
              <w:pageBreakBefore w:val="off"/>
              <w:tabs/>
              <w:wordWrap w:val="on"/>
              <w:spacing w:after="0" w:before="0"/>
              <w:ind w:firstLine="0" w:hanging="0" w:left="0" w:right="0"/>
              <w:jc w:val="left"/>
              <w:textAlignment w:val="auto"/>
              <w:rPr>
                <w:sz w:val="24"/>
              </w:rPr>
            </w:pPr>
            <w:bookmarkStart w:id="1174" w:name=""/>
            <w:r>
              <w:rPr>
                <w:rFonts w:ascii="宋体" w:cs="宋体" w:eastAsia="宋体" w:hAnsi="宋体"/>
                <w:sz w:val="24"/>
                <w:spacing w:val="0"/>
                <w:b w:val="off"/>
                <w:i w:val="off"/>
              </w:rPr>
              <w:t>补充各功能需求的量化验收指标与性能参数</w:t>
            </w:r>
            <w:bookmarkEnd w:id="1174"/>
          </w:p>
        </w:tc>
        <w:tc>
          <w:tcPr>
            <w:tcW w:type="dxa" w:w="2060"/>
          </w:tcPr>
          <w:p>
            <w:pPr>
              <w:pageBreakBefore w:val="off"/>
              <w:tabs/>
              <w:wordWrap w:val="on"/>
              <w:spacing w:after="0" w:before="0"/>
              <w:ind w:firstLine="0" w:hanging="0" w:left="0" w:right="0"/>
              <w:jc w:val="left"/>
              <w:textAlignment w:val="auto"/>
              <w:rPr>
                <w:sz w:val="24"/>
              </w:rPr>
            </w:pPr>
            <w:bookmarkStart w:id="1175" w:name=""/>
            <w:r>
              <w:rPr>
                <w:rFonts w:ascii="宋体" w:cs="宋体" w:eastAsia="宋体" w:hAnsi="宋体"/>
                <w:sz w:val="24"/>
                <w:spacing w:val="0"/>
                <w:b w:val="off"/>
                <w:i w:val="off"/>
              </w:rPr>
              <w:t>XXX</w:t>
            </w:r>
            <w:bookmarkEnd w:id="1175"/>
          </w:p>
        </w:tc>
        <w:tc>
          <w:tcPr>
            <w:tcW w:type="dxa" w:w="2060"/>
          </w:tcPr>
          <w:p>
            <w:pPr>
              <w:pageBreakBefore w:val="off"/>
              <w:tabs/>
              <w:wordWrap w:val="on"/>
              <w:spacing w:after="0" w:before="0"/>
              <w:ind w:firstLine="0" w:hanging="0" w:left="0" w:right="0"/>
              <w:jc w:val="left"/>
              <w:textAlignment w:val="auto"/>
              <w:rPr>
                <w:sz w:val="24"/>
              </w:rPr>
            </w:pPr>
            <w:bookmarkStart w:id="1176" w:name=""/>
            <w:r>
              <w:rPr>
                <w:rFonts w:ascii="宋体" w:cs="宋体" w:eastAsia="宋体" w:hAnsi="宋体"/>
                <w:sz w:val="24"/>
                <w:spacing w:val="0"/>
                <w:b w:val="off"/>
                <w:i w:val="off"/>
              </w:rPr>
              <w:t>XXXX</w:t>
            </w:r>
            <w:bookmarkEnd w:id="1176"/>
          </w:p>
        </w:tc>
      </w:tr>
      <w:tr>
        <w:tc>
          <w:tcPr>
            <w:tcW w:type="dxa" w:w="2060"/>
          </w:tcPr>
          <w:p>
            <w:pPr>
              <w:pageBreakBefore w:val="off"/>
              <w:tabs/>
              <w:wordWrap w:val="on"/>
              <w:spacing w:after="0" w:before="0"/>
              <w:ind w:firstLine="0" w:hanging="0" w:left="0" w:right="0"/>
              <w:jc w:val="left"/>
              <w:textAlignment w:val="auto"/>
              <w:rPr>
                <w:sz w:val="24"/>
              </w:rPr>
            </w:pPr>
            <w:bookmarkStart w:id="1177" w:name=""/>
            <w:r>
              <w:rPr>
                <w:rFonts w:ascii="宋体" w:cs="宋体" w:eastAsia="宋体" w:hAnsi="宋体"/>
                <w:sz w:val="24"/>
                <w:spacing w:val="0"/>
                <w:b w:val="off"/>
                <w:i w:val="off"/>
              </w:rPr>
              <w:t>V1.3</w:t>
            </w:r>
            <w:bookmarkEnd w:id="1177"/>
          </w:p>
        </w:tc>
        <w:tc>
          <w:tcPr>
            <w:tcW w:type="dxa" w:w="2060"/>
          </w:tcPr>
          <w:p>
            <w:pPr>
              <w:pageBreakBefore w:val="off"/>
              <w:tabs/>
              <w:wordWrap w:val="on"/>
              <w:spacing w:after="0" w:before="0"/>
              <w:ind w:firstLine="0" w:hanging="0" w:left="0" w:right="0"/>
              <w:jc w:val="left"/>
              <w:textAlignment w:val="auto"/>
              <w:rPr>
                <w:sz w:val="24"/>
              </w:rPr>
            </w:pPr>
            <w:bookmarkStart w:id="1178" w:name=""/>
            <w:r>
              <w:rPr>
                <w:rFonts w:ascii="宋体" w:cs="宋体" w:eastAsia="宋体" w:hAnsi="宋体"/>
                <w:sz w:val="24"/>
                <w:spacing w:val="0"/>
                <w:b w:val="off"/>
                <w:i w:val="off"/>
              </w:rPr>
              <w:t>优化算法性能指标，增加并发处理需求与安全性要求</w:t>
            </w:r>
            <w:bookmarkEnd w:id="1178"/>
          </w:p>
        </w:tc>
        <w:tc>
          <w:tcPr>
            <w:tcW w:type="dxa" w:w="2060"/>
          </w:tcPr>
          <w:p>
            <w:pPr>
              <w:pageBreakBefore w:val="off"/>
              <w:tabs/>
              <w:wordWrap w:val="on"/>
              <w:spacing w:after="0" w:before="0"/>
              <w:ind w:firstLine="0" w:hanging="0" w:left="0" w:right="0"/>
              <w:jc w:val="left"/>
              <w:textAlignment w:val="auto"/>
              <w:rPr>
                <w:sz w:val="24"/>
              </w:rPr>
            </w:pPr>
            <w:bookmarkStart w:id="1179" w:name=""/>
            <w:r>
              <w:rPr>
                <w:rFonts w:ascii="宋体" w:cs="宋体" w:eastAsia="宋体" w:hAnsi="宋体"/>
                <w:sz w:val="24"/>
                <w:spacing w:val="0"/>
                <w:b w:val="off"/>
                <w:i w:val="off"/>
              </w:rPr>
              <w:t>XXX</w:t>
            </w:r>
            <w:bookmarkEnd w:id="1179"/>
          </w:p>
        </w:tc>
        <w:tc>
          <w:tcPr>
            <w:tcW w:type="dxa" w:w="2060"/>
          </w:tcPr>
          <w:p>
            <w:pPr>
              <w:pageBreakBefore w:val="off"/>
              <w:tabs/>
              <w:wordWrap w:val="on"/>
              <w:spacing w:after="0" w:before="0"/>
              <w:ind w:firstLine="0" w:hanging="0" w:left="0" w:right="0"/>
              <w:jc w:val="left"/>
              <w:textAlignment w:val="auto"/>
              <w:rPr>
                <w:sz w:val="24"/>
              </w:rPr>
            </w:pPr>
            <w:bookmarkStart w:id="1180" w:name=""/>
            <w:r>
              <w:rPr>
                <w:rFonts w:ascii="宋体" w:cs="宋体" w:eastAsia="宋体" w:hAnsi="宋体"/>
                <w:sz w:val="24"/>
                <w:spacing w:val="0"/>
                <w:b w:val="off"/>
                <w:i w:val="off"/>
              </w:rPr>
              <w:t>XXXX</w:t>
            </w:r>
            <w:bookmarkEnd w:id="1180"/>
          </w:p>
        </w:tc>
      </w:tr>
    </w:tbl>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n"/>
          <w:i w:val="off"/>
        </w:rPr>
        <w:t>编制人</w:t>
      </w:r>
      <w:r>
        <w:rPr>
          <w:rFonts w:ascii="宋体" w:cs="宋体" w:eastAsia="宋体" w:hAnsi="宋体"/>
          <w:sz w:val="24"/>
          <w:spacing w:val="0"/>
          <w:b w:val="off"/>
          <w:i w:val="off"/>
        </w:rPr>
        <w:t>：XXX</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n"/>
          <w:i w:val="off"/>
        </w:rPr>
        <w:t>审核人</w:t>
      </w:r>
      <w:r>
        <w:rPr>
          <w:rFonts w:ascii="宋体" w:cs="宋体" w:eastAsia="宋体" w:hAnsi="宋体"/>
          <w:sz w:val="24"/>
          <w:spacing w:val="0"/>
          <w:b w:val="off"/>
          <w:i w:val="off"/>
        </w:rPr>
        <w:t>：XXX</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n"/>
          <w:i w:val="off"/>
        </w:rPr>
        <w:t>批准人</w:t>
      </w:r>
      <w:r>
        <w:rPr>
          <w:rFonts w:ascii="宋体" w:cs="宋体" w:eastAsia="宋体" w:hAnsi="宋体"/>
          <w:sz w:val="24"/>
          <w:spacing w:val="0"/>
          <w:b w:val="off"/>
          <w:i w:val="off"/>
        </w:rPr>
        <w:t>：XXX</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n"/>
          <w:i w:val="off"/>
        </w:rPr>
        <w:t>日期</w:t>
      </w:r>
      <w:r>
        <w:rPr>
          <w:rFonts w:ascii="宋体" w:cs="宋体" w:eastAsia="宋体" w:hAnsi="宋体"/>
          <w:sz w:val="24"/>
          <w:spacing w:val="0"/>
          <w:b w:val="off"/>
          <w:i w:val="off"/>
        </w:rPr>
        <w:t>：XXXX年XX月XX日</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备注</w:t>
      </w:r>
      <w:r>
        <w:rPr>
          <w:rFonts w:ascii="宋体" w:cs="宋体" w:eastAsia="宋体" w:hAnsi="宋体"/>
          <w:sz w:val="24"/>
          <w:spacing w:val="0"/>
          <w:b w:val="off"/>
          <w:i w:val="off"/>
        </w:rPr>
        <w:t>：</w:t>
      </w:r>
      <w:bookmarkEnd w:id="1185"/>
    </w:p>
    <w:p>
      <w:pPr>
        <w:pageBreakBefore w:val="off"/>
        <w:numPr>
          <w:ilvl w:val="0"/>
          <w:numId w:val="27"/>
        </w:numPr>
        <w:tabs/>
        <w:wordWrap w:val="on"/>
        <w:spacing w:after="0" w:before="160"/>
        <w:ind w:hanging="440" w:left="440" w:right="0"/>
        <w:jc w:val="left"/>
        <w:textAlignment w:val="auto"/>
        <w:rPr>
          <w:sz w:val="24"/>
        </w:rPr>
      </w:pPr>
      <w:bookmarkStart w:id="1186" w:name=""/>
      <w:r>
        <w:rPr>
          <w:rFonts w:ascii="宋体" w:cs="宋体" w:eastAsia="宋体" w:hAnsi="宋体"/>
          <w:sz w:val="24"/>
          <w:spacing w:val="0"/>
          <w:b w:val="off"/>
          <w:i w:val="off"/>
        </w:rPr>
        <w:t>所有需求必须具备双向可追溯性，从顶层作战需求追溯到模块功能，再追溯到代码实现与测试用例，确保无需求遗漏或偏离，形成闭环管理，满足军用软件的高可靠性要求与全生命周期管控，支持需求变更的影响分析。</w:t>
      </w:r>
      <w:bookmarkEnd w:id="1186"/>
    </w:p>
    <w:p>
      <w:pPr>
        <w:pageBreakBefore w:val="off"/>
        <w:numPr>
          <w:ilvl w:val="0"/>
          <w:numId w:val="27"/>
        </w:numPr>
        <w:tabs/>
        <w:wordWrap w:val="on"/>
        <w:spacing w:after="0" w:before="160"/>
        <w:ind w:hanging="440" w:left="440" w:right="0"/>
        <w:jc w:val="left"/>
        <w:textAlignment w:val="auto"/>
        <w:rPr>
          <w:sz w:val="24"/>
        </w:rPr>
      </w:pPr>
      <w:bookmarkStart w:id="1187" w:name=""/>
      <w:r>
        <w:rPr>
          <w:rFonts w:ascii="宋体" w:cs="宋体" w:eastAsia="宋体" w:hAnsi="宋体"/>
          <w:sz w:val="24"/>
          <w:spacing w:val="0"/>
          <w:b w:val="off"/>
          <w:i w:val="off"/>
        </w:rPr>
        <w:t>对于文档中涉及的关键算法（如路径规划、任务分配、协同优化），开发方需在详细设计阶段提供详细的数学模型、伪代码、时间/空间复杂度分析报告，并接受专家组的专项评审，确保算法的先进性、工程可行性与计算效率，满足实时性与最优性要求。</w:t>
      </w:r>
      <w:bookmarkEnd w:id="1187"/>
    </w:p>
    <w:p>
      <w:pPr>
        <w:pageBreakBefore w:val="off"/>
        <w:numPr>
          <w:ilvl w:val="0"/>
          <w:numId w:val="27"/>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ff"/>
          <w:i w:val="off"/>
        </w:rPr>
        <w:t>所有的数据接口在系统联调前必须进行协议一致性测试与互操作性测试，确保与仿真系统其他模块（如想定编辑器、仿真引擎、导调控制台、评估系统）的无缝对接，数据解析正确率100%，时延符合实时性要求，保障系统整体效能与信息流畅。</w:t>
      </w:r>
      <w:bookmarkEnd w:id="1188"/>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2026-03-18T06:56:16Z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VgKIfKusQmK1Is6yZUDelGItqRU5HlkXBr7G48GcJBk=","ProduceID":"doc_sgs:706c56ba-0d9b-4f8f-889a-7a442f0432d3","ReservedCode2":"VgKIfKusQmK1Is6yZUDelGItqRU5HlkXBr7G48GcJBk=","PropagateID":"doc_sgs:706c56ba-0d9b-4f8f-889a-7a442f0432d3","ContentProducer":"001191440101MA9Y9T4H7A00000"}</vt:lpwstr>
  </property>
</Properties>
</file>