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雷达系统核心参数深度研究报告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引言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参数是描述雷达系统性能、定义其作战能力的核心量化指标。从远程预警的千里眼到火控照射的精准锁，不同用途的雷达，其参数设置存在着天壤之别。理解这些参数的物理意义，以及它们在不同应用场景下的差异与约束，是掌握雷达技术本质的关键。本报告将系统性地拆解雷达的核心参数体系，分析不同用户雷达的参数差异，并深入探讨参数设计过程中的工程与物理限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 雷达核心参数体系与深度解读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雷达的参数体系可以分为</w:t>
      </w:r>
      <w:r>
        <w:rPr>
          <w:rFonts w:eastAsia="等线" w:ascii="Arial" w:cs="Arial" w:hAnsi="Arial"/>
          <w:b w:val="true"/>
          <w:sz w:val="22"/>
        </w:rPr>
        <w:t>射频参数、信号参数、天线参数以及性能参数</w:t>
      </w:r>
      <w:r>
        <w:rPr>
          <w:rFonts w:eastAsia="等线" w:ascii="Arial" w:cs="Arial" w:hAnsi="Arial"/>
          <w:sz w:val="22"/>
        </w:rPr>
        <w:t>四个维度，每一个维度都直接决定了雷达的 “性格”。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工作频率与波段选择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工作频率是雷达最根本的参数，它几乎决定了雷达的所有其他特性。根据波长的不同，雷达波段被划分为不同的类别：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典型特性与应用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UHF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300MHz-1GHz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1m-0.3m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波长较长，绕射能力强，反隐身效果好，穿透 foliage 能力强。多用于远程预警和反隐身雷达。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 波段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1-2GHz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30-15cm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兼顾探测距离与精度，大气衰减小。多用于远程警戒雷达、空管一次雷达。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 波段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2-4GHz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15-7.5cm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平衡了探测距离、角分辨率和天气影响。是预警机、舰载多功能雷达的首选波段。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 波段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4-8GHz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7.5-3.75cm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分辨率优于 S 波段，受天气影响中等。多用于中程防空导弹制导雷达、气象雷达。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 波段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8-12GHz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37.5-25mm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波长短，天线可以做的很小，角分辨率极高。多用于战斗机火控雷达、反舰导弹末制导雷达。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Ku/Ka 波段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12-40GHz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25-7.5mm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极高的分辨率，但大气衰减严重，雨衰明显。多用于战术导弹制导、无人机侦察雷达。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脉冲重复频率 (PRF) 与脉冲重复周期 (PRI)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脉冲重复频率（PRF）是雷达每秒发射的脉冲个数，而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脉冲重复周期（PRI）\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则是它的倒数，即两个相邻发射脉冲之间的时间间隔。这对参数共同解决了雷达 “测距” 与 “测速” 的核心矛盾。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2.2.1 核心原理：不模糊边界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 直接决定了雷达的</w:t>
      </w:r>
      <w:r>
        <w:rPr>
          <w:rFonts w:eastAsia="等线" w:ascii="Arial" w:cs="Arial" w:hAnsi="Arial"/>
          <w:b w:val="true"/>
          <w:sz w:val="22"/>
        </w:rPr>
        <w:t>最大不模糊距离</w:t>
      </w:r>
      <w:r>
        <w:rPr>
          <w:rFonts w:eastAsia="等线" w:ascii="Arial" w:cs="Arial" w:hAnsi="Arial"/>
          <w:sz w:val="22"/>
        </w:rPr>
        <w:t>，其公式为：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c×PRI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br/>
        <w:t>其中 c 为光速。简单来说，雷达必须等上一个脉冲的回波回来，才能发射下一个脉冲，否则就会把 “上一个脉冲的远距回波” 误判为 “当前脉冲的近距回波”，这就是距离模糊。</w:t>
        <w:br/>
      </w:r>
      <w:r>
        <w:rPr>
          <w:rFonts w:eastAsia="等线" w:ascii="Arial" w:cs="Arial" w:hAnsi="Arial"/>
          <w:sz w:val="22"/>
        </w:rPr>
        <w:t>同理，PRF 决定了最大不模糊速度。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2.2.2 不同重复周期的使用场景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 PRI 的长短，雷达的设计有着完全不同的应用取向：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长重复周期 (Long PRI,&gt;1ms)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参数特征</w:t>
      </w:r>
      <w:r>
        <w:rPr>
          <w:rFonts w:eastAsia="等线" w:ascii="Arial" w:cs="Arial" w:hAnsi="Arial"/>
          <w:sz w:val="22"/>
        </w:rPr>
        <w:t>：PRI &gt; 1ms，对应 PRF &lt;1kHz。最大不模糊距离极远（&gt;150km），完全无距离模糊，但存在严重的速度模糊。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远程战略预警雷达</w:t>
      </w:r>
      <w:r>
        <w:rPr>
          <w:rFonts w:eastAsia="等线" w:ascii="Arial" w:cs="Arial" w:hAnsi="Arial"/>
          <w:sz w:val="22"/>
        </w:rPr>
        <w:t>。例如 “铺路爪” 雷达，其 PRI 长达 10ms，对应的不模糊距离达到 1500km，足以覆盖其数千公里的探测范围。这类雷达只需要发现目标在哪里，不在乎瞬时速度，因此牺牲测速换测距。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中重复周期 (Medium PRI, 100us-1ms)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参数特征</w:t>
      </w:r>
      <w:r>
        <w:rPr>
          <w:rFonts w:eastAsia="等线" w:ascii="Arial" w:cs="Arial" w:hAnsi="Arial"/>
          <w:sz w:val="22"/>
        </w:rPr>
        <w:t>：PRI 在 100us-1ms 之间，对应 PRF 1-10kHz。距离和速度都有轻微模糊，但通过多重 PRI 交错很容易解模糊。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机载预警雷达、舰载多功能雷达</w:t>
      </w:r>
      <w:r>
        <w:rPr>
          <w:rFonts w:eastAsia="等线" w:ascii="Arial" w:cs="Arial" w:hAnsi="Arial"/>
          <w:sz w:val="22"/>
        </w:rPr>
        <w:t>。例如空警 - 500 的雷达，PRI 通常在 200us-500us。这个区间既能保证下视时的地物杂波抑制能力，又能兼顾对几百公里外目标的测距，是兼顾搜索、跟踪和抗杂波的最优折中。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短重复周期 (Short PRI, &lt;100us)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参数特征</w:t>
      </w:r>
      <w:r>
        <w:rPr>
          <w:rFonts w:eastAsia="等线" w:ascii="Arial" w:cs="Arial" w:hAnsi="Arial"/>
          <w:sz w:val="22"/>
        </w:rPr>
        <w:t>：PRI &lt;100us，对应 PRF&gt; 10kHz。最大不模糊速度极高，完全无速度模糊，但存在严重的距离模糊。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机载火控雷达</w:t>
      </w:r>
      <w:r>
        <w:rPr>
          <w:rFonts w:eastAsia="等线" w:ascii="Arial" w:cs="Arial" w:hAnsi="Arial"/>
          <w:sz w:val="22"/>
        </w:rPr>
        <w:t>。例如 F-35 的 AN/APG-81 雷达，PRI 可以短到 10us。这意味着它可以准确测量高达 3 马赫以上的目标速度，从而在迎头状态下，从强大的地物杂波中把高速目标滤出来。虽然这会导致距离模糊，但火控雷达的探测距离只有 200km，通过多重 PRI 很容易解模糊。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发射功率与功率孔径积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发射功率是雷达的 “嗓门”，功率越大，声音传得越远。对于有源相控阵雷达，我们更关注</w:t>
      </w:r>
      <w:r>
        <w:rPr>
          <w:rFonts w:eastAsia="等线" w:ascii="Arial" w:cs="Arial" w:hAnsi="Arial"/>
          <w:b w:val="true"/>
          <w:sz w:val="22"/>
        </w:rPr>
        <w:t>功率孔径积 (PAP)</w:t>
      </w:r>
      <w:r>
        <w:rPr>
          <w:rFonts w:eastAsia="等线" w:ascii="Arial" w:cs="Arial" w:hAnsi="Arial"/>
          <w:sz w:val="22"/>
        </w:rPr>
        <w:t>，即发射功率乘以天线面积。这是衡量雷达探测距离的黄金指标。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传统的砷化镓 (GaAs) 器件，功率密度约为 1W/mm²。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新一代的氮化镓 (GaN) 器件，功率密度提升到了 3-5W/mm²，这直接让雷达的探测距离提升了 40% 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2.4 天线增益与旁瓣电平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天线增益</w:t>
      </w:r>
      <w:r>
        <w:rPr>
          <w:rFonts w:eastAsia="等线" w:ascii="Arial" w:cs="Arial" w:hAnsi="Arial"/>
          <w:sz w:val="22"/>
        </w:rPr>
        <w:t>：天线把能量集中起来的能力。增益越高，波束越窄，探测距离越远，角分辨率越高。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旁瓣电平</w:t>
      </w:r>
      <w:r>
        <w:rPr>
          <w:rFonts w:eastAsia="等线" w:ascii="Arial" w:cs="Arial" w:hAnsi="Arial"/>
          <w:sz w:val="22"/>
        </w:rPr>
        <w:t>：主波束之外的多余辐射。超低旁瓣（&lt;-40dB）是预警雷达的关键，它能极大地抑制地物杂波，让雷达能从极强的背景中看到微弱的目标。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2.5 分辨率与刷新率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距离分辨率</w:t>
      </w:r>
      <w:r>
        <w:rPr>
          <w:rFonts w:eastAsia="等线" w:ascii="Arial" w:cs="Arial" w:hAnsi="Arial"/>
          <w:sz w:val="22"/>
        </w:rPr>
        <w:t>：雷达区分两个距离很近目标的能力，取决于信号带宽。带宽越大，分辨率越高。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角分辨率</w:t>
      </w:r>
      <w:r>
        <w:rPr>
          <w:rFonts w:eastAsia="等线" w:ascii="Arial" w:cs="Arial" w:hAnsi="Arial"/>
          <w:sz w:val="22"/>
        </w:rPr>
        <w:t>：区分两个角度很近目标的能力，取决于天线孔径和波长。天线越大，波长越短，分辨率越高。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数据刷新率</w:t>
      </w:r>
      <w:r>
        <w:rPr>
          <w:rFonts w:eastAsia="等线" w:ascii="Arial" w:cs="Arial" w:hAnsi="Arial"/>
          <w:sz w:val="22"/>
        </w:rPr>
        <w:t>：雷达更新一次航迹的时间。对于高速机动目标，刷新率必须足够高（&lt;1s），否则目标就会 “飞丢”。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 不同应用场景的雷达参数差异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不同的用户需求，决定了雷达参数的完全不同的设计取向。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远程预警用户：“看的远” 是唯一追求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对于战略预警用户来说，他们需要在几千公里外发现来袭的导弹或轰炸机。因此：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</w:t>
      </w:r>
      <w:r>
        <w:rPr>
          <w:rFonts w:eastAsia="等线" w:ascii="Arial" w:cs="Arial" w:hAnsi="Arial"/>
          <w:sz w:val="22"/>
        </w:rPr>
        <w:t>：选择最低的 P 或 UHF 波段，利用大气衰减小、波长长得特点，实现超远距离传播。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天线</w:t>
      </w:r>
      <w:r>
        <w:rPr>
          <w:rFonts w:eastAsia="等线" w:ascii="Arial" w:cs="Arial" w:hAnsi="Arial"/>
          <w:sz w:val="22"/>
        </w:rPr>
        <w:t>：做的极大，动辄几十米的天线阵面，为了提升增益和角分辨率。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PRF</w:t>
      </w:r>
      <w:r>
        <w:rPr>
          <w:rFonts w:eastAsia="等线" w:ascii="Arial" w:cs="Arial" w:hAnsi="Arial"/>
          <w:sz w:val="22"/>
        </w:rPr>
        <w:t>：极低的重复频率，为了保证不出现距离模糊，能看清几千公里外的目标。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功率</w:t>
      </w:r>
      <w:r>
        <w:rPr>
          <w:rFonts w:eastAsia="等线" w:ascii="Arial" w:cs="Arial" w:hAnsi="Arial"/>
          <w:sz w:val="22"/>
        </w:rPr>
        <w:t>：极高的发射功率，兆瓦级的峰值功率，为了把信号打到几千公里外。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机载火控用户：“看的清、反应快”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对于战斗机飞行员来说，他们需要的是锁定几十公里外的敌机，并且引导导弹攻击。因此：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</w:t>
      </w:r>
      <w:r>
        <w:rPr>
          <w:rFonts w:eastAsia="等线" w:ascii="Arial" w:cs="Arial" w:hAnsi="Arial"/>
          <w:sz w:val="22"/>
        </w:rPr>
        <w:t>：选择最高的 X 波段，为了在小小的机头雷达罩里，做出足够高的角分辨率。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天线</w:t>
      </w:r>
      <w:r>
        <w:rPr>
          <w:rFonts w:eastAsia="等线" w:ascii="Arial" w:cs="Arial" w:hAnsi="Arial"/>
          <w:sz w:val="22"/>
        </w:rPr>
        <w:t>：受机头尺寸限制，天线直径通常只有 0.6-1 米，非常小。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PRF</w:t>
      </w:r>
      <w:r>
        <w:rPr>
          <w:rFonts w:eastAsia="等线" w:ascii="Arial" w:cs="Arial" w:hAnsi="Arial"/>
          <w:sz w:val="22"/>
        </w:rPr>
        <w:t>：极高的重复频率，为了在迎头状态下，从强大的地物杂波中把高速目标滤出来。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功率</w:t>
      </w:r>
      <w:r>
        <w:rPr>
          <w:rFonts w:eastAsia="等线" w:ascii="Arial" w:cs="Arial" w:hAnsi="Arial"/>
          <w:sz w:val="22"/>
        </w:rPr>
        <w:t>：虽然单个组件功率不大，但由于 T/R 组件多，功率密度极高。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舰载多功能用户：“既要又要还要”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对于驱逐舰来说，一部雷达要同时负责远程预警、防空反导、反舰探测。因此：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</w:t>
      </w:r>
      <w:r>
        <w:rPr>
          <w:rFonts w:eastAsia="等线" w:ascii="Arial" w:cs="Arial" w:hAnsi="Arial"/>
          <w:sz w:val="22"/>
        </w:rPr>
        <w:t>：选择中庸的 S 波段，兼顾探测距离和天气适应性，不会因为下雨就瞎了。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天线</w:t>
      </w:r>
      <w:r>
        <w:rPr>
          <w:rFonts w:eastAsia="等线" w:ascii="Arial" w:cs="Arial" w:hAnsi="Arial"/>
          <w:sz w:val="22"/>
        </w:rPr>
        <w:t>：采用数字阵列，通过软件划分成多个虚拟波束，同时执行搜索、跟踪、制导任务。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PRF</w:t>
      </w:r>
      <w:r>
        <w:rPr>
          <w:rFonts w:eastAsia="等线" w:ascii="Arial" w:cs="Arial" w:hAnsi="Arial"/>
          <w:sz w:val="22"/>
        </w:rPr>
        <w:t>：采用多重 PRF 交错，同时解决距离和速度模糊问题。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散热</w:t>
      </w:r>
      <w:r>
        <w:rPr>
          <w:rFonts w:eastAsia="等线" w:ascii="Arial" w:cs="Arial" w:hAnsi="Arial"/>
          <w:sz w:val="22"/>
        </w:rPr>
        <w:t>：由于要在舰岛上长时间满功率运行，对散热要求极高。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民用用户：“合规、低成本”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对于空管或气象雷达这类民用用户，参数受到严格的管制：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</w:t>
      </w:r>
      <w:r>
        <w:rPr>
          <w:rFonts w:eastAsia="等线" w:ascii="Arial" w:cs="Arial" w:hAnsi="Arial"/>
          <w:sz w:val="22"/>
        </w:rPr>
        <w:t>：必须使用国际电信联盟（ITU）划分的民用频段，不能占用军用频段。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功率</w:t>
      </w:r>
      <w:r>
        <w:rPr>
          <w:rFonts w:eastAsia="等线" w:ascii="Arial" w:cs="Arial" w:hAnsi="Arial"/>
          <w:sz w:val="22"/>
        </w:rPr>
        <w:t>：严格限制发射功率，避免对周边的通信设备造成干扰。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：功能单一，只负责探测，不需要复杂的抗干扰或电子战功能，成本优先。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 典型雷达系统参数汇总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下表汇总了当前市面上常见雷达系统的详细参数，直观展示了不同类型雷达的参数差异：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雷达型号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工作波段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天线尺寸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峰值功率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PRF 范围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探测距离 (RCS=2㎡)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AN/FPS-115 (铺路爪)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战略预警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UHF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1500kW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100-500Hz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5500km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空警 - 500 雷达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空中预警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波段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15kW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300-2000Hz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470km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AN/APG-81 (F-35)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机载火控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波段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 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10kW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10-200kHz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180km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AN/SPY-6 (宙斯盾)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舰载防空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波段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 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12kW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500-10000Hz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500km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JY-27 反隐身雷达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远程警戒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VHF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20kW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200-800Hz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500km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国产空管雷达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民用空管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S/L 波段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1.5kW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400-1000Hz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400km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CINRAD/SA 气象雷达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气象探测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波段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 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0.25kW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1000-2000Hz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460km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 雷达参数设置的约束与限制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雷达参数的设计并不是随心所欲的，它受到物理定律、工程技术以及法规的多重限制。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电磁频谱管制的硬约束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这是民用雷达最首要的限制。国际电信联盟（ITU）对全球的无线电频谱进行了严格的划分。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例如，X 波段的火控雷达不能随便用，因为该频段部分被卫星通信占用。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军用雷达虽然有专用频段，但也不能随意超频，否则会干扰己方的通信或友军的雷达。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频率的拥挤导致了现在雷达都在追求 “频谱共享” 和 “认知频谱”，即在不干扰别人的前提下，动态占用空闲频段。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物理与工程的极限约束</w:t>
      </w:r>
      <w:bookmarkEnd w:id="1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器件功率极限</w:t>
      </w:r>
      <w:r>
        <w:rPr>
          <w:rFonts w:eastAsia="等线" w:ascii="Arial" w:cs="Arial" w:hAnsi="Arial"/>
          <w:sz w:val="22"/>
        </w:rPr>
        <w:t>：虽然 GaN 很厉害，但它也有极限。功率做的太高，器件就会被烧毁。这限制了雷达的最大发射功率。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平台尺寸约束</w:t>
      </w:r>
      <w:r>
        <w:rPr>
          <w:rFonts w:eastAsia="等线" w:ascii="Arial" w:cs="Arial" w:hAnsi="Arial"/>
          <w:sz w:val="22"/>
        </w:rPr>
        <w:t>：机载雷达的天线不能比机头还大，舰载雷达的天线不能比舰岛还高。天线尺寸的物理限制，直接限制了雷达的增益和分辨率。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散热瓶颈</w:t>
      </w:r>
      <w:r>
        <w:rPr>
          <w:rFonts w:eastAsia="等线" w:ascii="Arial" w:cs="Arial" w:hAnsi="Arial"/>
          <w:sz w:val="22"/>
        </w:rPr>
        <w:t>：功率越大，发热越多。在密闭的雷达罩里，如何把热量散出去，是一个巨大的难题。很多时候，不是做不出大功率器件，而是散不掉热。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 探测模糊的固有矛盾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这是雷达原理上的固有矛盾，无法彻底消除，只能折中。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距离模糊</w:t>
      </w:r>
      <w:r>
        <w:rPr>
          <w:rFonts w:eastAsia="等线" w:ascii="Arial" w:cs="Arial" w:hAnsi="Arial"/>
          <w:sz w:val="22"/>
        </w:rPr>
        <w:t>：如果 PRF 太高，雷达发出第二个脉冲的时候，第一个脉冲的回波还没回来，雷达就会误以为这个回波是第二个脉冲的，从而算错了距离。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速度模糊</w:t>
      </w:r>
      <w:r>
        <w:rPr>
          <w:rFonts w:eastAsia="等线" w:ascii="Arial" w:cs="Arial" w:hAnsi="Arial"/>
          <w:sz w:val="22"/>
        </w:rPr>
        <w:t>：如果 PRF 太低，雷达就无法准确测量目标的多普勒频移，从而算错了目标的速度。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工程师们只能通过</w:t>
      </w:r>
      <w:r>
        <w:rPr>
          <w:rFonts w:eastAsia="等线" w:ascii="Arial" w:cs="Arial" w:hAnsi="Arial"/>
          <w:b w:val="true"/>
          <w:sz w:val="22"/>
        </w:rPr>
        <w:t>多重 PRF</w:t>
      </w:r>
      <w:r>
        <w:rPr>
          <w:rFonts w:eastAsia="等线" w:ascii="Arial" w:cs="Arial" w:hAnsi="Arial"/>
          <w:sz w:val="22"/>
        </w:rPr>
        <w:t xml:space="preserve"> 技术，用几个不同的频率交替发射，来解模糊，但这会牺牲数据率。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5.4 低截获概率 (LPI) 的约束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现代战场，雷达开着就等于在黑夜里打手电，会暴露自己。因此，先进雷达的参数设置必须考虑低截获概率。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功率管理</w:t>
      </w:r>
      <w:r>
        <w:rPr>
          <w:rFonts w:eastAsia="等线" w:ascii="Arial" w:cs="Arial" w:hAnsi="Arial"/>
          <w:sz w:val="22"/>
        </w:rPr>
        <w:t>：不能一直满功率发射，要根据目标距离自动调整功率，远处用大功率，近处用小功率。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波形捷变</w:t>
      </w:r>
      <w:r>
        <w:rPr>
          <w:rFonts w:eastAsia="等线" w:ascii="Arial" w:cs="Arial" w:hAnsi="Arial"/>
          <w:sz w:val="22"/>
        </w:rPr>
        <w:t>：频率和相位要随机跳变，让敌方的电子支援设备（ESM）无法截获和识别你的雷达信号。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这就限制了雷达不能随便用最高功率，也不能用固定的波形，必须在探测性能和隐蔽性之间做平衡。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5.5 环境适应性的约束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雷达的参数必须适应环境。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海杂波</w:t>
      </w:r>
      <w:r>
        <w:rPr>
          <w:rFonts w:eastAsia="等线" w:ascii="Arial" w:cs="Arial" w:hAnsi="Arial"/>
          <w:sz w:val="22"/>
        </w:rPr>
        <w:t>：在海上，海浪的杂波很强，雷达必须调整 PRF 和多普勒滤波参数，才能把目标从海浪杂波里滤出来。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雨衰</w:t>
      </w:r>
      <w:r>
        <w:rPr>
          <w:rFonts w:eastAsia="等线" w:ascii="Arial" w:cs="Arial" w:hAnsi="Arial"/>
          <w:sz w:val="22"/>
        </w:rPr>
        <w:t>：在大雨天，高频段（如 Ka 波段）的信号衰减非常严重，雷达必须自动降低频率或者增大功率来补偿。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地杂波</w:t>
      </w:r>
      <w:r>
        <w:rPr>
          <w:rFonts w:eastAsia="等线" w:ascii="Arial" w:cs="Arial" w:hAnsi="Arial"/>
          <w:sz w:val="22"/>
        </w:rPr>
        <w:t>：在山区，地形杂波复杂，雷达必须调整旁瓣抑制参数，避免虚警。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 结论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雷达参数的设计，本质上是一个在约束条件下的多目标优化过程。没有最好的参数，只有最适合的参数。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对于预警，我们牺牲分辨率换距离；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对于火控，我们牺牲距离换精度；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对于民用，我们牺牲性能换合规。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理解这些参数背后的物理意义与约束，才能真正读懂一部雷达的设计哲学，也才能在未来的雷达研发中，找到性能突破的最优解。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1497">
    <w:lvl>
      <w:start w:val="1"/>
      <w:numFmt w:val="decimal"/>
      <w:suff w:val="tab"/>
      <w:lvlText w:val="%1."/>
      <w:rPr>
        <w:color w:val="3370ff"/>
      </w:rPr>
    </w:lvl>
  </w:abstractNum>
  <w:abstractNum w:abstractNumId="341498">
    <w:lvl>
      <w:numFmt w:val="bullet"/>
      <w:suff w:val="tab"/>
      <w:lvlText w:val="￮"/>
      <w:rPr>
        <w:color w:val="3370ff"/>
      </w:rPr>
    </w:lvl>
  </w:abstractNum>
  <w:abstractNum w:abstractNumId="341499">
    <w:lvl>
      <w:numFmt w:val="bullet"/>
      <w:suff w:val="tab"/>
      <w:lvlText w:val="￮"/>
      <w:rPr>
        <w:color w:val="3370ff"/>
      </w:rPr>
    </w:lvl>
  </w:abstractNum>
  <w:abstractNum w:abstractNumId="341500">
    <w:lvl>
      <w:start w:val="2"/>
      <w:numFmt w:val="decimal"/>
      <w:suff w:val="tab"/>
      <w:lvlText w:val="%1."/>
      <w:rPr>
        <w:color w:val="3370ff"/>
      </w:rPr>
    </w:lvl>
  </w:abstractNum>
  <w:abstractNum w:abstractNumId="341501">
    <w:lvl>
      <w:numFmt w:val="bullet"/>
      <w:suff w:val="tab"/>
      <w:lvlText w:val="￮"/>
      <w:rPr>
        <w:color w:val="3370ff"/>
      </w:rPr>
    </w:lvl>
  </w:abstractNum>
  <w:abstractNum w:abstractNumId="341502">
    <w:lvl>
      <w:numFmt w:val="bullet"/>
      <w:suff w:val="tab"/>
      <w:lvlText w:val="￮"/>
      <w:rPr>
        <w:color w:val="3370ff"/>
      </w:rPr>
    </w:lvl>
  </w:abstractNum>
  <w:abstractNum w:abstractNumId="341503">
    <w:lvl>
      <w:start w:val="3"/>
      <w:numFmt w:val="decimal"/>
      <w:suff w:val="tab"/>
      <w:lvlText w:val="%1."/>
      <w:rPr>
        <w:color w:val="3370ff"/>
      </w:rPr>
    </w:lvl>
  </w:abstractNum>
  <w:abstractNum w:abstractNumId="341504">
    <w:lvl>
      <w:numFmt w:val="bullet"/>
      <w:suff w:val="tab"/>
      <w:lvlText w:val="￮"/>
      <w:rPr>
        <w:color w:val="3370ff"/>
      </w:rPr>
    </w:lvl>
  </w:abstractNum>
  <w:abstractNum w:abstractNumId="341505">
    <w:lvl>
      <w:numFmt w:val="bullet"/>
      <w:suff w:val="tab"/>
      <w:lvlText w:val="￮"/>
      <w:rPr>
        <w:color w:val="3370ff"/>
      </w:rPr>
    </w:lvl>
  </w:abstractNum>
  <w:abstractNum w:abstractNumId="341506">
    <w:lvl>
      <w:numFmt w:val="bullet"/>
      <w:suff w:val="tab"/>
      <w:lvlText w:val="•"/>
      <w:rPr>
        <w:color w:val="3370ff"/>
      </w:rPr>
    </w:lvl>
  </w:abstractNum>
  <w:abstractNum w:abstractNumId="341507">
    <w:lvl>
      <w:numFmt w:val="bullet"/>
      <w:suff w:val="tab"/>
      <w:lvlText w:val="•"/>
      <w:rPr>
        <w:color w:val="3370ff"/>
      </w:rPr>
    </w:lvl>
  </w:abstractNum>
  <w:abstractNum w:abstractNumId="341508">
    <w:lvl>
      <w:numFmt w:val="bullet"/>
      <w:suff w:val="tab"/>
      <w:lvlText w:val="•"/>
      <w:rPr>
        <w:color w:val="3370ff"/>
      </w:rPr>
    </w:lvl>
  </w:abstractNum>
  <w:abstractNum w:abstractNumId="341509">
    <w:lvl>
      <w:numFmt w:val="bullet"/>
      <w:suff w:val="tab"/>
      <w:lvlText w:val="•"/>
      <w:rPr>
        <w:color w:val="3370ff"/>
      </w:rPr>
    </w:lvl>
  </w:abstractNum>
  <w:abstractNum w:abstractNumId="341510">
    <w:lvl>
      <w:numFmt w:val="bullet"/>
      <w:suff w:val="tab"/>
      <w:lvlText w:val="•"/>
      <w:rPr>
        <w:color w:val="3370ff"/>
      </w:rPr>
    </w:lvl>
  </w:abstractNum>
  <w:abstractNum w:abstractNumId="341511">
    <w:lvl>
      <w:numFmt w:val="bullet"/>
      <w:suff w:val="tab"/>
      <w:lvlText w:val="•"/>
      <w:rPr>
        <w:color w:val="3370ff"/>
      </w:rPr>
    </w:lvl>
  </w:abstractNum>
  <w:abstractNum w:abstractNumId="341512">
    <w:lvl>
      <w:numFmt w:val="bullet"/>
      <w:suff w:val="tab"/>
      <w:lvlText w:val="•"/>
      <w:rPr>
        <w:color w:val="3370ff"/>
      </w:rPr>
    </w:lvl>
  </w:abstractNum>
  <w:abstractNum w:abstractNumId="341513">
    <w:lvl>
      <w:numFmt w:val="bullet"/>
      <w:suff w:val="tab"/>
      <w:lvlText w:val="•"/>
      <w:rPr>
        <w:color w:val="3370ff"/>
      </w:rPr>
    </w:lvl>
  </w:abstractNum>
  <w:abstractNum w:abstractNumId="341514">
    <w:lvl>
      <w:numFmt w:val="bullet"/>
      <w:suff w:val="tab"/>
      <w:lvlText w:val="•"/>
      <w:rPr>
        <w:color w:val="3370ff"/>
      </w:rPr>
    </w:lvl>
  </w:abstractNum>
  <w:abstractNum w:abstractNumId="341515">
    <w:lvl>
      <w:numFmt w:val="bullet"/>
      <w:suff w:val="tab"/>
      <w:lvlText w:val="•"/>
      <w:rPr>
        <w:color w:val="3370ff"/>
      </w:rPr>
    </w:lvl>
  </w:abstractNum>
  <w:abstractNum w:abstractNumId="341516">
    <w:lvl>
      <w:numFmt w:val="bullet"/>
      <w:suff w:val="tab"/>
      <w:lvlText w:val="•"/>
      <w:rPr>
        <w:color w:val="3370ff"/>
      </w:rPr>
    </w:lvl>
  </w:abstractNum>
  <w:abstractNum w:abstractNumId="341517">
    <w:lvl>
      <w:numFmt w:val="bullet"/>
      <w:suff w:val="tab"/>
      <w:lvlText w:val="•"/>
      <w:rPr>
        <w:color w:val="3370ff"/>
      </w:rPr>
    </w:lvl>
  </w:abstractNum>
  <w:abstractNum w:abstractNumId="341518">
    <w:lvl>
      <w:numFmt w:val="bullet"/>
      <w:suff w:val="tab"/>
      <w:lvlText w:val="•"/>
      <w:rPr>
        <w:color w:val="3370ff"/>
      </w:rPr>
    </w:lvl>
  </w:abstractNum>
  <w:abstractNum w:abstractNumId="341519">
    <w:lvl>
      <w:numFmt w:val="bullet"/>
      <w:suff w:val="tab"/>
      <w:lvlText w:val="•"/>
      <w:rPr>
        <w:color w:val="3370ff"/>
      </w:rPr>
    </w:lvl>
  </w:abstractNum>
  <w:abstractNum w:abstractNumId="341520">
    <w:lvl>
      <w:numFmt w:val="bullet"/>
      <w:suff w:val="tab"/>
      <w:lvlText w:val="•"/>
      <w:rPr>
        <w:color w:val="3370ff"/>
      </w:rPr>
    </w:lvl>
  </w:abstractNum>
  <w:abstractNum w:abstractNumId="341521">
    <w:lvl>
      <w:numFmt w:val="bullet"/>
      <w:suff w:val="tab"/>
      <w:lvlText w:val="•"/>
      <w:rPr>
        <w:color w:val="3370ff"/>
      </w:rPr>
    </w:lvl>
  </w:abstractNum>
  <w:abstractNum w:abstractNumId="341522">
    <w:lvl>
      <w:numFmt w:val="bullet"/>
      <w:suff w:val="tab"/>
      <w:lvlText w:val="•"/>
      <w:rPr>
        <w:color w:val="3370ff"/>
      </w:rPr>
    </w:lvl>
  </w:abstractNum>
  <w:abstractNum w:abstractNumId="341523">
    <w:lvl>
      <w:numFmt w:val="bullet"/>
      <w:suff w:val="tab"/>
      <w:lvlText w:val="•"/>
      <w:rPr>
        <w:color w:val="3370ff"/>
      </w:rPr>
    </w:lvl>
  </w:abstractNum>
  <w:abstractNum w:abstractNumId="341524">
    <w:lvl>
      <w:numFmt w:val="bullet"/>
      <w:suff w:val="tab"/>
      <w:lvlText w:val="•"/>
      <w:rPr>
        <w:color w:val="3370ff"/>
      </w:rPr>
    </w:lvl>
  </w:abstractNum>
  <w:abstractNum w:abstractNumId="341525">
    <w:lvl>
      <w:numFmt w:val="bullet"/>
      <w:suff w:val="tab"/>
      <w:lvlText w:val="•"/>
      <w:rPr>
        <w:color w:val="3370ff"/>
      </w:rPr>
    </w:lvl>
  </w:abstractNum>
  <w:abstractNum w:abstractNumId="341526">
    <w:lvl>
      <w:numFmt w:val="bullet"/>
      <w:suff w:val="tab"/>
      <w:lvlText w:val="•"/>
      <w:rPr>
        <w:color w:val="3370ff"/>
      </w:rPr>
    </w:lvl>
  </w:abstractNum>
  <w:abstractNum w:abstractNumId="341527">
    <w:lvl>
      <w:numFmt w:val="bullet"/>
      <w:suff w:val="tab"/>
      <w:lvlText w:val="•"/>
      <w:rPr>
        <w:color w:val="3370ff"/>
      </w:rPr>
    </w:lvl>
  </w:abstractNum>
  <w:abstractNum w:abstractNumId="341528">
    <w:lvl>
      <w:numFmt w:val="bullet"/>
      <w:suff w:val="tab"/>
      <w:lvlText w:val="•"/>
      <w:rPr>
        <w:color w:val="3370ff"/>
      </w:rPr>
    </w:lvl>
  </w:abstractNum>
  <w:abstractNum w:abstractNumId="341529">
    <w:lvl>
      <w:numFmt w:val="bullet"/>
      <w:suff w:val="tab"/>
      <w:lvlText w:val="•"/>
      <w:rPr>
        <w:color w:val="3370ff"/>
      </w:rPr>
    </w:lvl>
  </w:abstractNum>
  <w:abstractNum w:abstractNumId="341530">
    <w:lvl>
      <w:numFmt w:val="bullet"/>
      <w:suff w:val="tab"/>
      <w:lvlText w:val="•"/>
      <w:rPr>
        <w:color w:val="3370ff"/>
      </w:rPr>
    </w:lvl>
  </w:abstractNum>
  <w:abstractNum w:abstractNumId="341531">
    <w:lvl>
      <w:numFmt w:val="bullet"/>
      <w:suff w:val="tab"/>
      <w:lvlText w:val="•"/>
      <w:rPr>
        <w:color w:val="3370ff"/>
      </w:rPr>
    </w:lvl>
  </w:abstractNum>
  <w:abstractNum w:abstractNumId="341532">
    <w:lvl>
      <w:numFmt w:val="bullet"/>
      <w:suff w:val="tab"/>
      <w:lvlText w:val="•"/>
      <w:rPr>
        <w:color w:val="3370ff"/>
      </w:rPr>
    </w:lvl>
  </w:abstractNum>
  <w:abstractNum w:abstractNumId="341533">
    <w:lvl>
      <w:numFmt w:val="bullet"/>
      <w:suff w:val="tab"/>
      <w:lvlText w:val="•"/>
      <w:rPr>
        <w:color w:val="3370ff"/>
      </w:rPr>
    </w:lvl>
  </w:abstractNum>
  <w:abstractNum w:abstractNumId="341534">
    <w:lvl>
      <w:numFmt w:val="bullet"/>
      <w:suff w:val="tab"/>
      <w:lvlText w:val="•"/>
      <w:rPr>
        <w:color w:val="3370ff"/>
      </w:rPr>
    </w:lvl>
  </w:abstractNum>
  <w:abstractNum w:abstractNumId="341535">
    <w:lvl>
      <w:numFmt w:val="bullet"/>
      <w:suff w:val="tab"/>
      <w:lvlText w:val="•"/>
      <w:rPr>
        <w:color w:val="3370ff"/>
      </w:rPr>
    </w:lvl>
  </w:abstractNum>
  <w:abstractNum w:abstractNumId="341536">
    <w:lvl>
      <w:numFmt w:val="bullet"/>
      <w:suff w:val="tab"/>
      <w:lvlText w:val="•"/>
      <w:rPr>
        <w:color w:val="3370ff"/>
      </w:rPr>
    </w:lvl>
  </w:abstractNum>
  <w:abstractNum w:abstractNumId="341537">
    <w:lvl>
      <w:numFmt w:val="bullet"/>
      <w:suff w:val="tab"/>
      <w:lvlText w:val="•"/>
      <w:rPr>
        <w:color w:val="3370ff"/>
      </w:rPr>
    </w:lvl>
  </w:abstractNum>
  <w:abstractNum w:abstractNumId="341538">
    <w:lvl>
      <w:numFmt w:val="bullet"/>
      <w:suff w:val="tab"/>
      <w:lvlText w:val="•"/>
      <w:rPr>
        <w:color w:val="3370ff"/>
      </w:rPr>
    </w:lvl>
  </w:abstractNum>
  <w:abstractNum w:abstractNumId="341539">
    <w:lvl>
      <w:numFmt w:val="bullet"/>
      <w:suff w:val="tab"/>
      <w:lvlText w:val="•"/>
      <w:rPr>
        <w:color w:val="3370ff"/>
      </w:rPr>
    </w:lvl>
  </w:abstractNum>
  <w:abstractNum w:abstractNumId="341540">
    <w:lvl>
      <w:numFmt w:val="bullet"/>
      <w:suff w:val="tab"/>
      <w:lvlText w:val="•"/>
      <w:rPr>
        <w:color w:val="3370ff"/>
      </w:rPr>
    </w:lvl>
  </w:abstractNum>
  <w:abstractNum w:abstractNumId="341541">
    <w:lvl>
      <w:numFmt w:val="bullet"/>
      <w:suff w:val="tab"/>
      <w:lvlText w:val="•"/>
      <w:rPr>
        <w:color w:val="3370ff"/>
      </w:rPr>
    </w:lvl>
  </w:abstractNum>
  <w:abstractNum w:abstractNumId="341542">
    <w:lvl>
      <w:numFmt w:val="bullet"/>
      <w:suff w:val="tab"/>
      <w:lvlText w:val="•"/>
      <w:rPr>
        <w:color w:val="3370ff"/>
      </w:rPr>
    </w:lvl>
  </w:abstractNum>
  <w:abstractNum w:abstractNumId="341543">
    <w:lvl>
      <w:numFmt w:val="bullet"/>
      <w:suff w:val="tab"/>
      <w:lvlText w:val="•"/>
      <w:rPr>
        <w:color w:val="3370ff"/>
      </w:rPr>
    </w:lvl>
  </w:abstractNum>
  <w:abstractNum w:abstractNumId="341544">
    <w:lvl>
      <w:numFmt w:val="bullet"/>
      <w:suff w:val="tab"/>
      <w:lvlText w:val="•"/>
      <w:rPr>
        <w:color w:val="3370ff"/>
      </w:rPr>
    </w:lvl>
  </w:abstractNum>
  <w:abstractNum w:abstractNumId="341545">
    <w:lvl>
      <w:numFmt w:val="bullet"/>
      <w:suff w:val="tab"/>
      <w:lvlText w:val="•"/>
      <w:rPr>
        <w:color w:val="3370ff"/>
      </w:rPr>
    </w:lvl>
  </w:abstractNum>
  <w:num w:numId="1">
    <w:abstractNumId w:val="341497"/>
  </w:num>
  <w:num w:numId="2">
    <w:abstractNumId w:val="341498"/>
  </w:num>
  <w:num w:numId="3">
    <w:abstractNumId w:val="341499"/>
  </w:num>
  <w:num w:numId="4">
    <w:abstractNumId w:val="341500"/>
  </w:num>
  <w:num w:numId="5">
    <w:abstractNumId w:val="341501"/>
  </w:num>
  <w:num w:numId="6">
    <w:abstractNumId w:val="341502"/>
  </w:num>
  <w:num w:numId="7">
    <w:abstractNumId w:val="341503"/>
  </w:num>
  <w:num w:numId="8">
    <w:abstractNumId w:val="341504"/>
  </w:num>
  <w:num w:numId="9">
    <w:abstractNumId w:val="341505"/>
  </w:num>
  <w:num w:numId="10">
    <w:abstractNumId w:val="341506"/>
  </w:num>
  <w:num w:numId="11">
    <w:abstractNumId w:val="341507"/>
  </w:num>
  <w:num w:numId="12">
    <w:abstractNumId w:val="341508"/>
  </w:num>
  <w:num w:numId="13">
    <w:abstractNumId w:val="341509"/>
  </w:num>
  <w:num w:numId="14">
    <w:abstractNumId w:val="341510"/>
  </w:num>
  <w:num w:numId="15">
    <w:abstractNumId w:val="341511"/>
  </w:num>
  <w:num w:numId="16">
    <w:abstractNumId w:val="341512"/>
  </w:num>
  <w:num w:numId="17">
    <w:abstractNumId w:val="341513"/>
  </w:num>
  <w:num w:numId="18">
    <w:abstractNumId w:val="341514"/>
  </w:num>
  <w:num w:numId="19">
    <w:abstractNumId w:val="341515"/>
  </w:num>
  <w:num w:numId="20">
    <w:abstractNumId w:val="341516"/>
  </w:num>
  <w:num w:numId="21">
    <w:abstractNumId w:val="341517"/>
  </w:num>
  <w:num w:numId="22">
    <w:abstractNumId w:val="341518"/>
  </w:num>
  <w:num w:numId="23">
    <w:abstractNumId w:val="341519"/>
  </w:num>
  <w:num w:numId="24">
    <w:abstractNumId w:val="341520"/>
  </w:num>
  <w:num w:numId="25">
    <w:abstractNumId w:val="341521"/>
  </w:num>
  <w:num w:numId="26">
    <w:abstractNumId w:val="341522"/>
  </w:num>
  <w:num w:numId="27">
    <w:abstractNumId w:val="341523"/>
  </w:num>
  <w:num w:numId="28">
    <w:abstractNumId w:val="341524"/>
  </w:num>
  <w:num w:numId="29">
    <w:abstractNumId w:val="341525"/>
  </w:num>
  <w:num w:numId="30">
    <w:abstractNumId w:val="341526"/>
  </w:num>
  <w:num w:numId="31">
    <w:abstractNumId w:val="341527"/>
  </w:num>
  <w:num w:numId="32">
    <w:abstractNumId w:val="341528"/>
  </w:num>
  <w:num w:numId="33">
    <w:abstractNumId w:val="341529"/>
  </w:num>
  <w:num w:numId="34">
    <w:abstractNumId w:val="341530"/>
  </w:num>
  <w:num w:numId="35">
    <w:abstractNumId w:val="341531"/>
  </w:num>
  <w:num w:numId="36">
    <w:abstractNumId w:val="341532"/>
  </w:num>
  <w:num w:numId="37">
    <w:abstractNumId w:val="341533"/>
  </w:num>
  <w:num w:numId="38">
    <w:abstractNumId w:val="341534"/>
  </w:num>
  <w:num w:numId="39">
    <w:abstractNumId w:val="341535"/>
  </w:num>
  <w:num w:numId="40">
    <w:abstractNumId w:val="341536"/>
  </w:num>
  <w:num w:numId="41">
    <w:abstractNumId w:val="341537"/>
  </w:num>
  <w:num w:numId="42">
    <w:abstractNumId w:val="341538"/>
  </w:num>
  <w:num w:numId="43">
    <w:abstractNumId w:val="341539"/>
  </w:num>
  <w:num w:numId="44">
    <w:abstractNumId w:val="341540"/>
  </w:num>
  <w:num w:numId="45">
    <w:abstractNumId w:val="341541"/>
  </w:num>
  <w:num w:numId="46">
    <w:abstractNumId w:val="341542"/>
  </w:num>
  <w:num w:numId="47">
    <w:abstractNumId w:val="341543"/>
  </w:num>
  <w:num w:numId="48">
    <w:abstractNumId w:val="341544"/>
  </w:num>
  <w:num w:numId="49">
    <w:abstractNumId w:val="3415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2026-03-20T03:02:04Z</dcterms:created>
  <dc:creator>Apache POI</dc:creator>
</cp:coreProperties>
</file>