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300"/>
        <w:jc w:val="center"/>
      </w:pPr>
      <w:r>
        <w:rPr>
          <w:rFonts w:ascii="Arial" w:cs="Arial" w:eastAsia="Arial" w:hAnsi="Arial"/>
          <w:b/>
          <w:bCs/>
          <w:color w:val="1F3864"/>
          <w:sz w:val="44"/>
          <w:szCs w:val="44"/>
        </w:rPr>
        <w:t xml:space="preserve">Profix Roofing Services</w:t>
      </w:r>
    </w:p>
    <w:p>
      <w:pPr>
        <w:spacing w:before="0" w:after="200"/>
        <w:jc w:val="center"/>
      </w:pPr>
      <w:r>
        <w:rPr>
          <w:rFonts w:ascii="Arial" w:cs="Arial" w:eastAsia="Arial" w:hAnsi="Arial"/>
          <w:b/>
          <w:bCs/>
          <w:color w:val="2E5090"/>
          <w:sz w:val="34"/>
          <w:szCs w:val="34"/>
        </w:rPr>
        <w:t xml:space="preserve">Tender Generation Process Report</w:t>
      </w:r>
    </w:p>
    <w:p>
      <w:pPr>
        <w:spacing w:before="0" w:after="200"/>
        <w:jc w:val="center"/>
      </w:pPr>
      <w:r>
        <w:rPr>
          <w:rFonts w:ascii="Arial" w:cs="Arial" w:eastAsia="Arial" w:hAnsi="Arial"/>
          <w:color w:val="555555"/>
          <w:sz w:val="22"/>
          <w:szCs w:val="22"/>
        </w:rPr>
        <w:t xml:space="preserve">Project: Tradewinds, Wards Wharf Approach, London E16 2EY</w:t>
      </w:r>
    </w:p>
    <w:p>
      <w:pPr>
        <w:spacing w:before="0" w:after="2000"/>
        <w:jc w:val="center"/>
      </w:pPr>
      <w:r>
        <w:rPr>
          <w:rFonts w:ascii="Arial" w:cs="Arial" w:eastAsia="Arial" w:hAnsi="Arial"/>
          <w:i/>
          <w:iCs/>
          <w:color w:val="777777"/>
          <w:sz w:val="20"/>
          <w:szCs w:val="20"/>
        </w:rPr>
        <w:t xml:space="preserve">March 2026</w:t>
      </w:r>
    </w:p>
    <w:p>
      <w:pPr>
        <w:pStyle w:val="Heading1"/>
      </w:pPr>
      <w:r>
        <w:t xml:space="preserve">1.  High-Level Project Breakdown</w:t>
      </w:r>
    </w:p>
    <w:p>
      <w:r>
        <w:t xml:space="preserve"/>
      </w:r>
    </w:p>
    <w:p>
      <w:r>
        <w:t xml:space="preserve">The Tradewinds project involves the complete waterproof roof replacement of three residential blocks at Wards Wharf Approach, London E16 2EY, managed by Urang Property Management. The works are tendered to two separate clients: Mend Building (Block A only) and City Restoration (Blocks B and C). Block A is the immediate priority, with B and C to follow later in 2026.</w:t>
      </w:r>
    </w:p>
    <w:p>
      <w:r>
        <w:t xml:space="preserve"/>
      </w:r>
    </w:p>
    <w:p>
      <w:pPr>
        <w:pStyle w:val="Heading2"/>
      </w:pPr>
      <w:r>
        <w:t xml:space="preserve">1.1  Site overview</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b/>
                <w:bCs/>
                <w:color w:val="FFFFFF"/>
                <w:sz w:val="20"/>
                <w:szCs w:val="20"/>
              </w:rPr>
              <w:t xml:space="preserve">Field</w:t>
            </w:r>
          </w:p>
        </w:tc>
        <w:tc>
          <w:tcPr>
            <w:tcW w:type="dxa" w:w="636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bCs/>
                <w:color w:val="000000"/>
                <w:sz w:val="20"/>
                <w:szCs w:val="20"/>
              </w:rPr>
              <w:t xml:space="preserve">Project reference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2221717</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bCs/>
                <w:color w:val="000000"/>
                <w:sz w:val="20"/>
                <w:szCs w:val="20"/>
              </w:rPr>
              <w:t xml:space="preserve">Address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Tradewinds, Wards Wharf Approach, London E16 2EY</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bCs/>
                <w:color w:val="000000"/>
                <w:sz w:val="20"/>
                <w:szCs w:val="20"/>
              </w:rPr>
              <w:t xml:space="preserve">Client (Block 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Mend Building / Urang Property Management</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bCs/>
                <w:color w:val="000000"/>
                <w:sz w:val="20"/>
                <w:szCs w:val="20"/>
              </w:rPr>
              <w:t xml:space="preserve">Client (Blocks B &amp; C)</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City Restoration</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bCs/>
                <w:color w:val="000000"/>
                <w:sz w:val="20"/>
                <w:szCs w:val="20"/>
              </w:rPr>
              <w:t xml:space="preserve">Contractor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Profix Roofing Services (PRS)</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bCs/>
                <w:color w:val="000000"/>
                <w:sz w:val="20"/>
                <w:szCs w:val="20"/>
              </w:rPr>
              <w:t xml:space="preserve">Manufacturer / spec author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Proteus Waterproofing Ltd</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bCs/>
                <w:color w:val="000000"/>
                <w:sz w:val="20"/>
                <w:szCs w:val="20"/>
              </w:rPr>
              <w:t xml:space="preserve">Manufacturer contact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Alan Joy — alan.joy@proteuswaterproofing.co.uk</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bCs/>
                <w:color w:val="000000"/>
                <w:sz w:val="20"/>
                <w:szCs w:val="20"/>
              </w:rPr>
              <w:t xml:space="preserve">Condition report date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16 December 2025</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bCs/>
                <w:color w:val="000000"/>
                <w:sz w:val="20"/>
                <w:szCs w:val="20"/>
              </w:rPr>
              <w:t xml:space="preserve">Spec document date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27 April 2023 (updated quotation Dec 2025)</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bCs/>
                <w:color w:val="000000"/>
                <w:sz w:val="20"/>
                <w:szCs w:val="20"/>
              </w:rPr>
              <w:t xml:space="preserve">Tender date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November 2025 (final tender document)</w:t>
            </w:r>
          </w:p>
        </w:tc>
      </w:tr>
    </w:tbl>
    <w:p>
      <w:r>
        <w:t xml:space="preserve"/>
      </w:r>
    </w:p>
    <w:p>
      <w:pPr>
        <w:pStyle w:val="Heading2"/>
      </w:pPr>
      <w:r>
        <w:t xml:space="preserve">1.2  Block summary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160"/>
        <w:gridCol w:w="2800"/>
        <w:gridCol w:w="2000"/>
      </w:tblGrid>
      <w:tr>
        <w:tc>
          <w:tcPr>
            <w:tcW w:type="dxa" w:w="14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b/>
                <w:bCs/>
                <w:color w:val="FFFFFF"/>
                <w:sz w:val="20"/>
                <w:szCs w:val="20"/>
              </w:rPr>
              <w:t xml:space="preserve">Block</w:t>
            </w:r>
          </w:p>
        </w:tc>
        <w:tc>
          <w:tcPr>
            <w:tcW w:type="dxa" w:w="316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b/>
                <w:bCs/>
                <w:color w:val="FFFFFF"/>
                <w:sz w:val="20"/>
                <w:szCs w:val="20"/>
              </w:rPr>
              <w:t xml:space="preserve">Apartments</w:t>
            </w:r>
          </w:p>
        </w:tc>
        <w:tc>
          <w:tcPr>
            <w:tcW w:type="dxa" w:w="28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b/>
                <w:bCs/>
                <w:color w:val="FFFFFF"/>
                <w:sz w:val="20"/>
                <w:szCs w:val="20"/>
              </w:rPr>
              <w:t xml:space="preserve">Approx. field area</w:t>
            </w:r>
          </w:p>
        </w:tc>
        <w:tc>
          <w:tcPr>
            <w:tcW w:type="dxa" w:w="20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b/>
                <w:bCs/>
                <w:color w:val="FFFFFF"/>
                <w:sz w:val="20"/>
                <w:szCs w:val="20"/>
              </w:rPr>
              <w:t xml:space="preserve">Building height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117–176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560 m² (field) + 125 lm perimeter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~21 m / 7 storeys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B</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49–116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~540 m² (field) + 135 lm perimeter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~24 m / 8 storeys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1–48</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~480 m² (field) + 100 lm perimeter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Lower block, ~3–4 storeys</w:t>
            </w:r>
          </w:p>
        </w:tc>
      </w:tr>
    </w:tbl>
    <w:p>
      <w:r>
        <w:t xml:space="preserve"/>
      </w:r>
    </w:p>
    <w:p>
      <w:pPr>
        <w:pStyle w:val="Heading2"/>
      </w:pPr>
      <w:r>
        <w:t xml:space="preserve">1.3  Existing roof condition summary</w:t>
      </w:r>
    </w:p>
    <w:p>
      <w:r>
        <w:t xml:space="preserve"/>
      </w:r>
    </w:p>
    <w:p>
      <w:r>
        <w:t xml:space="preserve">The Proteus condition report (16 Dec 2025) covered two survey areas corresponding to the main roof zones across Blocks A and B. Key findings that directly drove the scope and cost of works:</w:t>
      </w:r>
    </w:p>
    <w:p>
      <w:r>
        <w:t xml:space="preserve"/>
      </w:r>
    </w:p>
    <w:p>
      <w:pPr>
        <w:pStyle w:val="ListParagraph"/>
        <w:numPr>
          <w:ilvl w:val="0"/>
          <w:numId w:val="2"/>
        </w:numPr>
      </w:pPr>
      <w:r>
        <w:t xml:space="preserve">Existing system is a liquid-applied membrane over EPS and PIR insulation on a concrete deck (warm roof). Core samples were saturated (21–28% WME): an overlay is not viable and full strip-out is required.</w:t>
      </w:r>
    </w:p>
    <w:p>
      <w:pPr>
        <w:pStyle w:val="ListParagraph"/>
        <w:numPr>
          <w:ilvl w:val="0"/>
          <w:numId w:val="2"/>
        </w:numPr>
      </w:pPr>
      <w:r>
        <w:t xml:space="preserve">Surface membrane is splitting and open at lap joints, outlets, pipe penetrations, and upstand junctions.</w:t>
      </w:r>
    </w:p>
    <w:p>
      <w:pPr>
        <w:pStyle w:val="ListParagraph"/>
        <w:numPr>
          <w:ilvl w:val="0"/>
          <w:numId w:val="2"/>
        </w:numPr>
      </w:pPr>
      <w:r>
        <w:t xml:space="preserve">Ponding water across all blocks due to inadequate existing falls. Tapered insulation required to achieve minimum 1:60 fall.</w:t>
      </w:r>
    </w:p>
    <w:p>
      <w:pPr>
        <w:pStyle w:val="ListParagraph"/>
        <w:numPr>
          <w:ilvl w:val="0"/>
          <w:numId w:val="2"/>
        </w:numPr>
      </w:pPr>
      <w:r>
        <w:t xml:space="preserve">Widespread temporary patch repairs (mastic, torch-on pieces) that are failing.</w:t>
      </w:r>
    </w:p>
    <w:p>
      <w:pPr>
        <w:pStyle w:val="ListParagraph"/>
        <w:numPr>
          <w:ilvl w:val="0"/>
          <w:numId w:val="2"/>
        </w:numPr>
      </w:pPr>
      <w:r>
        <w:t xml:space="preserve">Upstand heights below BS 6229 minimum (150 mm general upstands) — parapet raising required.</w:t>
      </w:r>
    </w:p>
    <w:p>
      <w:pPr>
        <w:pStyle w:val="ListParagraph"/>
        <w:numPr>
          <w:ilvl w:val="0"/>
          <w:numId w:val="2"/>
        </w:numPr>
      </w:pPr>
      <w:r>
        <w:t xml:space="preserve">Parapet cappings have open joints; inspection and/or replacement required.</w:t>
      </w:r>
    </w:p>
    <w:p>
      <w:pPr>
        <w:pStyle w:val="ListParagraph"/>
        <w:numPr>
          <w:ilvl w:val="0"/>
          <w:numId w:val="2"/>
        </w:numPr>
      </w:pPr>
      <w:r>
        <w:t xml:space="preserve">Lightning conductors surface-fixed to the roof — must be set aside during works (for others).</w:t>
      </w:r>
    </w:p>
    <w:p>
      <w:pPr>
        <w:pStyle w:val="ListParagraph"/>
        <w:numPr>
          <w:ilvl w:val="0"/>
          <w:numId w:val="2"/>
        </w:numPr>
      </w:pPr>
      <w:r>
        <w:t xml:space="preserve">Building height (21–24 m) triggers Approved Document B fire compartmentation requirements.</w:t>
      </w:r>
    </w:p>
    <w:p>
      <w:pPr>
        <w:pStyle w:val="ListParagraph"/>
        <w:numPr>
          <w:ilvl w:val="0"/>
          <w:numId w:val="2"/>
        </w:numPr>
      </w:pPr>
      <w:r>
        <w:t xml:space="preserve">Thermal upgrade required to achieve U-value of 0.16 W/m²K per Building Regulations Part L.</w:t>
      </w:r>
    </w:p>
    <w:p>
      <w:r>
        <w:t xml:space="preserve"/>
      </w:r>
    </w:p>
    <w:p>
      <w:pPr>
        <w:pStyle w:val="Heading2"/>
      </w:pPr>
      <w:r>
        <w:t xml:space="preserve">1.4  Specified solution</w:t>
      </w:r>
    </w:p>
    <w:p>
      <w:r>
        <w:t xml:space="preserve"/>
      </w:r>
    </w:p>
    <w:p>
      <w:r>
        <w:t xml:space="preserve">The specified system is the Proteus Pro-Felt® ‘Ultima-Plus’ Built-Up Roof (BUR) warm roof system on concrete decks, comprising the following layers in sequence:</w:t>
      </w:r>
    </w:p>
    <w:p>
      <w:r>
        <w:t xml:space="preserve"/>
      </w:r>
    </w:p>
    <w:p>
      <w:pPr>
        <w:pStyle w:val="ListParagraph"/>
        <w:numPr>
          <w:ilvl w:val="0"/>
          <w:numId w:val="3"/>
        </w:numPr>
      </w:pPr>
      <w:r>
        <w:t xml:space="preserve">Full strip of existing roof system to expose concrete deck.</w:t>
      </w:r>
    </w:p>
    <w:p>
      <w:pPr>
        <w:pStyle w:val="ListParagraph"/>
        <w:numPr>
          <w:ilvl w:val="0"/>
          <w:numId w:val="3"/>
        </w:numPr>
      </w:pPr>
      <w:r>
        <w:t xml:space="preserve">Surface preparation: fill cracks &gt;5 mm with Proteus FastFill; sweep, clean and dry substrate.</w:t>
      </w:r>
    </w:p>
    <w:p>
      <w:pPr>
        <w:pStyle w:val="ListParagraph"/>
        <w:numPr>
          <w:ilvl w:val="0"/>
          <w:numId w:val="3"/>
        </w:numPr>
      </w:pPr>
      <w:r>
        <w:t xml:space="preserve">Pro-Prime® SA primer applied at 0.20 ltr/m² to all surfaces.</w:t>
      </w:r>
    </w:p>
    <w:p>
      <w:pPr>
        <w:pStyle w:val="ListParagraph"/>
        <w:numPr>
          <w:ilvl w:val="0"/>
          <w:numId w:val="3"/>
        </w:numPr>
      </w:pPr>
      <w:r>
        <w:t xml:space="preserve">Self-adhesive AVCL: Proteus Pro-Felt® SA Underlay Sanded to horizontals and verticals.</w:t>
      </w:r>
    </w:p>
    <w:p>
      <w:pPr>
        <w:pStyle w:val="ListParagraph"/>
        <w:numPr>
          <w:ilvl w:val="0"/>
          <w:numId w:val="3"/>
        </w:numPr>
      </w:pPr>
      <w:r>
        <w:t xml:space="preserve">Pro-Bond Foaming adhesive applied at 50 ml/m² field / 100 ml/m² perimeter.</w:t>
      </w:r>
    </w:p>
    <w:p>
      <w:pPr>
        <w:pStyle w:val="ListParagraph"/>
        <w:numPr>
          <w:ilvl w:val="0"/>
          <w:numId w:val="3"/>
        </w:numPr>
      </w:pPr>
      <w:r>
        <w:t xml:space="preserve">Proteus Pro-Therm CTF tapered insulation scheme (1:60 fall, achieving 0.16 W/m²K).</w:t>
      </w:r>
    </w:p>
    <w:p>
      <w:pPr>
        <w:pStyle w:val="ListParagraph"/>
        <w:numPr>
          <w:ilvl w:val="0"/>
          <w:numId w:val="3"/>
        </w:numPr>
      </w:pPr>
      <w:r>
        <w:t xml:space="preserve">Proteus Pro-Felt® Ultima-Plus Underlay Sanded torch-on to horizontals (over insulation).</w:t>
      </w:r>
    </w:p>
    <w:p>
      <w:pPr>
        <w:pStyle w:val="ListParagraph"/>
        <w:numPr>
          <w:ilvl w:val="0"/>
          <w:numId w:val="3"/>
        </w:numPr>
      </w:pPr>
      <w:r>
        <w:t xml:space="preserve">Proteus Pro-Felt® 3mm Plain Underlay torch-on to verticals, details, and perimeter upstands.</w:t>
      </w:r>
    </w:p>
    <w:p>
      <w:pPr>
        <w:pStyle w:val="ListParagraph"/>
        <w:numPr>
          <w:ilvl w:val="0"/>
          <w:numId w:val="3"/>
        </w:numPr>
      </w:pPr>
      <w:r>
        <w:t xml:space="preserve">Proteus Pro-Felt® Ultima-Plus Mineral Capsheet torch-on to horizontals and verticals.</w:t>
      </w:r>
    </w:p>
    <w:p>
      <w:pPr>
        <w:pStyle w:val="ListParagraph"/>
        <w:numPr>
          <w:ilvl w:val="0"/>
          <w:numId w:val="3"/>
        </w:numPr>
      </w:pPr>
      <w:r>
        <w:t xml:space="preserve">GRP edge trims (ACTF4S03 100/60 mm) and corner pieces at all perimeters.</w:t>
      </w:r>
    </w:p>
    <w:p>
      <w:pPr>
        <w:pStyle w:val="ListParagraph"/>
        <w:numPr>
          <w:ilvl w:val="0"/>
          <w:numId w:val="3"/>
        </w:numPr>
      </w:pPr>
      <w:r>
        <w:t xml:space="preserve">Lead Code 5 sleeves to all SVP pipe penetrations and lanyard anchor poles.</w:t>
      </w:r>
    </w:p>
    <w:p>
      <w:pPr>
        <w:pStyle w:val="ListParagraph"/>
        <w:numPr>
          <w:ilvl w:val="0"/>
          <w:numId w:val="3"/>
        </w:numPr>
      </w:pPr>
      <w:r>
        <w:t xml:space="preserve">Refurbishment of parapet outlet gullies; new lead chutes where required.</w:t>
      </w:r>
    </w:p>
    <w:p>
      <w:pPr>
        <w:pStyle w:val="ListParagraph"/>
        <w:numPr>
          <w:ilvl w:val="0"/>
          <w:numId w:val="3"/>
        </w:numPr>
      </w:pPr>
      <w:r>
        <w:t xml:space="preserve">Parapet kerb raising: 18 mm WBP ply over treated timber framework with GRP trim finish.</w:t>
      </w:r>
    </w:p>
    <w:p>
      <w:r>
        <w:br w:type="page"/>
      </w:r>
    </w:p>
    <w:p>
      <w:pPr>
        <w:pStyle w:val="Heading1"/>
      </w:pPr>
      <w:r>
        <w:t xml:space="preserve">2.  Detailed Breakdown of the Material Estimation Process</w:t>
      </w:r>
    </w:p>
    <w:p>
      <w:r>
        <w:t xml:space="preserve"/>
      </w:r>
    </w:p>
    <w:p>
      <w:r>
        <w:t xml:space="preserve">The contractor’s estimation process translates the input documents into quantities and unit rates through a series of well-defined steps. Each step is described below in the sequence the contractor applied it.</w:t>
      </w:r>
    </w:p>
    <w:p>
      <w:r>
        <w:t xml:space="preserve"/>
      </w:r>
    </w:p>
    <w:p>
      <w:pPr>
        <w:pStyle w:val="Heading2"/>
      </w:pPr>
      <w:r>
        <w:t xml:space="preserve">Step 1: Establish the field area and detail perimeter (the root quantities)</w:t>
      </w:r>
    </w:p>
    <w:p>
      <w:r>
        <w:t xml:space="preserve"/>
      </w:r>
    </w:p>
    <w:p>
      <w:r>
        <w:t xml:space="preserve">This is the single most important numerical decision, from which all other quantities flow. The contractor noted the key geometry directly in the pricing sheet header:</w:t>
      </w:r>
    </w:p>
    <w:p>
      <w:r>
        <w:t xml:space="preserve"/>
      </w:r>
    </w:p>
    <w:p>
      <w:pPr>
        <w:pStyle w:val="ListParagraph"/>
        <w:numPr>
          <w:ilvl w:val="0"/>
          <w:numId w:val="2"/>
        </w:numPr>
      </w:pPr>
      <w:r>
        <w:t xml:space="preserve">Field area: 560 m² (flat deck membrane area for Block A).</w:t>
      </w:r>
    </w:p>
    <w:p>
      <w:pPr>
        <w:pStyle w:val="ListParagraph"/>
        <w:numPr>
          <w:ilvl w:val="0"/>
          <w:numId w:val="2"/>
        </w:numPr>
      </w:pPr>
      <w:r>
        <w:t xml:space="preserve">Detail perimeter: 125 lm (linear metres of upstand / parapet run).</w:t>
      </w:r>
    </w:p>
    <w:p>
      <w:pPr>
        <w:pStyle w:val="ListParagraph"/>
        <w:numPr>
          <w:ilvl w:val="0"/>
          <w:numId w:val="2"/>
        </w:numPr>
      </w:pPr>
      <w:r>
        <w:t xml:space="preserve">Total felt material area: 592 m² (560 m² field + ~32 m² upstand returns, calculated as 125 lm × ~250 mm average upstand overlap).</w:t>
      </w:r>
    </w:p>
    <w:p>
      <w:r>
        <w:t xml:space="preserve"/>
      </w:r>
    </w:p>
    <w:p>
      <w:r>
        <w:t xml:space="preserve">Source documents: The aerial plan photograph (Appendix 1 to the photographic schedule) showing the red-outlined Block A footprint was the primary visual reference, cross-referenced with the Proteus CTF tapered insulation quotation which confirmed Block 1 (Block A) at 392 m² bonding area / 760 m² total bonding perimeter. The 560 m² figure is the contractor’s gross take-off from the aerial image and site visit; the Proteus CTF bonding area (392 m²) is a reduced figure excluding perimeter overlap zones. The pricing sheet carries the note “Tapered scheme NEEDS CHECKING???” — the contractor was aware of this difference.</w:t>
      </w:r>
    </w:p>
    <w:p>
      <w:r>
        <w:t xml:space="preserve"/>
      </w:r>
    </w:p>
    <w:p>
      <w:pPr>
        <w:pStyle w:val="Heading2"/>
      </w:pPr>
      <w:r>
        <w:t xml:space="preserve">Step 2: Convert field area into membrane material quantities</w:t>
      </w:r>
    </w:p>
    <w:p>
      <w:r>
        <w:t xml:space="preserve"/>
      </w:r>
    </w:p>
    <w:p>
      <w:r>
        <w:t xml:space="preserve">With 560 m² (field) and 592 m² (total felt area) established, the contractor derived each membrane product quantity by dividing the area by the known coverage per roll, then expressing as a £/m² material cost using the self-generated Profix preferential rates from the Proteus quotation: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60"/>
        <w:gridCol w:w="1400"/>
        <w:gridCol w:w="2000"/>
      </w:tblGrid>
      <w:tr>
        <w:tc>
          <w:tcPr>
            <w:tcW w:type="dxa" w:w="24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b/>
                <w:bCs/>
                <w:color w:val="FFFFFF"/>
                <w:sz w:val="20"/>
                <w:szCs w:val="20"/>
              </w:rPr>
              <w:t xml:space="preserve">Product</w:t>
            </w:r>
          </w:p>
        </w:tc>
        <w:tc>
          <w:tcPr>
            <w:tcW w:type="dxa" w:w="356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b/>
                <w:bCs/>
                <w:color w:val="FFFFFF"/>
                <w:sz w:val="20"/>
                <w:szCs w:val="20"/>
              </w:rPr>
              <w:t xml:space="preserve">Coverage per roll / rate source</w:t>
            </w:r>
          </w:p>
        </w:tc>
        <w:tc>
          <w:tcPr>
            <w:tcW w:type="dxa" w:w="14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b/>
                <w:bCs/>
                <w:color w:val="FFFFFF"/>
                <w:sz w:val="20"/>
                <w:szCs w:val="20"/>
              </w:rPr>
              <w:t xml:space="preserve">Rate (£/m²)</w:t>
            </w:r>
          </w:p>
        </w:tc>
        <w:tc>
          <w:tcPr>
            <w:tcW w:type="dxa" w:w="20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b/>
                <w:bCs/>
                <w:color w:val="FFFFFF"/>
                <w:sz w:val="20"/>
                <w:szCs w:val="20"/>
              </w:rPr>
              <w:t xml:space="preserve">Quantity applied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Pro-Prime SA (25L tin)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 tin = 125 m² at 0.20 ltr/m² £291.69/tin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£2.33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592 m²</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Pro-Felt SA AVCL Underlay Sanded (1×16m roll)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 roll nets ~14 m² after laps @ £137.66/roll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£9.85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592 m²</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Pro-Felt Ultima-Plus Underlay (1×10m roll)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 roll nets ~8.5 m² after laps @ £58.21/roll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£6.85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592 m²</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Pro-Felt 3mm Plain Underlay (1×10m roll)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 roll nets ~8.5 m² @ £67.38/roll – verticals only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£7.93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90 m²</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Pro-Felt Ultima-Plus Mineral Capsheet (1×10m)</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 roll nets ~8.5 m² @ £121.96/roll + gas allowance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£15.90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592 m²</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Pro-Bond Foaming Adhesive (750ml can)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 can covers 14 m² @ £24.57/can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£1.75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560 m²</w:t>
            </w:r>
          </w:p>
        </w:tc>
      </w:tr>
    </w:tbl>
    <w:p>
      <w:r>
        <w:t xml:space="preserve"/>
      </w:r>
    </w:p>
    <w:p>
      <w:r>
        <w:t xml:space="preserve">The net coverage per roll is derived by the contractor from the roll dimensions with a realistic overlap/wastage deduction: an Ultima-Plus roll (1m × 10m = 10 m² gross) nets approximately 8.5 m² after applying the specified 80 mm side laps and 100 mm end laps. The AVCL roll (1m × 16m = 16 m² gross) nets approximately 14 m². The detail underlay quantity of 90 m² is derived from 125 lm × ~700 mm average vertical height (noted in the pricing sheet cell).</w:t>
      </w:r>
    </w:p>
    <w:p>
      <w:r>
        <w:t xml:space="preserve"/>
      </w:r>
    </w:p>
    <w:p>
      <w:pPr>
        <w:pStyle w:val="Heading2"/>
      </w:pPr>
      <w:r>
        <w:t xml:space="preserve">Step 3: Price the tapered insulation as a lump-sum pass-through</w:t>
      </w:r>
    </w:p>
    <w:p>
      <w:r>
        <w:t xml:space="preserve"/>
      </w:r>
    </w:p>
    <w:p>
      <w:r>
        <w:t xml:space="preserve">The CTF tapered insulation is treated differently from all other materials. Rather than deriving it from a per-m² coverage rate, the contractor uses the fixed lump-sum price issued by Proteus in their bespoke tapered scheme quotation (dated 17/12/2025):</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560"/>
        <w:gridCol w:w="2400"/>
      </w:tblGrid>
      <w:tr>
        <w:tc>
          <w:tcPr>
            <w:tcW w:type="dxa" w:w="14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b/>
                <w:bCs/>
                <w:color w:val="FFFFFF"/>
                <w:sz w:val="20"/>
                <w:szCs w:val="20"/>
              </w:rPr>
              <w:t xml:space="preserve">Block</w:t>
            </w:r>
          </w:p>
        </w:tc>
        <w:tc>
          <w:tcPr>
            <w:tcW w:type="dxa" w:w="556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b/>
                <w:bCs/>
                <w:color w:val="FFFFFF"/>
                <w:sz w:val="20"/>
                <w:szCs w:val="20"/>
              </w:rPr>
              <w:t xml:space="preserve">Proteus quotation detail</w:t>
            </w:r>
          </w:p>
        </w:tc>
        <w:tc>
          <w:tcPr>
            <w:tcW w:type="dxa" w:w="24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b/>
                <w:bCs/>
                <w:color w:val="FFFFFF"/>
                <w:sz w:val="20"/>
                <w:szCs w:val="20"/>
              </w:rPr>
              <w:t xml:space="preserve">Price</w:t>
            </w:r>
          </w:p>
        </w:tc>
      </w:tr>
      <w:tr>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bCs/>
                <w:color w:val="000000"/>
                <w:sz w:val="20"/>
                <w:szCs w:val="20"/>
              </w:rPr>
              <w:t xml:space="preserve">Block 1 (= Block A)</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392 m² roof area, 760 m² bonding area, 1:60 fall, 0.16 W/m²K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£26,852.00</w:t>
            </w:r>
          </w:p>
        </w:tc>
      </w:tr>
      <w:tr>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bCs/>
                <w:color w:val="000000"/>
                <w:sz w:val="20"/>
                <w:szCs w:val="20"/>
              </w:rPr>
              <w:t xml:space="preserve">Block 2 (= Block B)</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361 m² roof area, 690 m² bonding area, 1:60 fall, 0.16 W/m²K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£24,990.00</w:t>
            </w:r>
          </w:p>
        </w:tc>
      </w:tr>
      <w:tr>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bCs/>
                <w:color w:val="000000"/>
                <w:sz w:val="20"/>
                <w:szCs w:val="20"/>
              </w:rPr>
              <w:t xml:space="preserve">Combined total</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Adhesive to be allowed for separately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£51,842.00</w:t>
            </w:r>
          </w:p>
        </w:tc>
      </w:tr>
    </w:tbl>
    <w:p>
      <w:r>
        <w:t xml:space="preserve"/>
      </w:r>
    </w:p>
    <w:p>
      <w:r>
        <w:t xml:space="preserve">In the pricing sheet the contractor expresses this as 392 m² at £68.50/m² (£26,852 ÷ 392 = £68.50). In the final tender the insulation item (2.07) is expressed as 560 m² at £66.65/m², suggesting the contractor reworked the per-m² rate against the gross roof area before issuing. The note “NEEDS CHECKING???” in the pricing sheet confirms this reconciliation was outstanding at the time the pricing sheet was drafted. Pro-Bond adhesive is added separately at £1.75/m² × 560 m², as the Proteus quotation explicitly excludes it.</w:t>
      </w:r>
    </w:p>
    <w:p>
      <w:r>
        <w:t xml:space="preserve"/>
      </w:r>
    </w:p>
    <w:p>
      <w:pPr>
        <w:pStyle w:val="Heading2"/>
      </w:pPr>
      <w:r>
        <w:t xml:space="preserve">Step 4: Derive parapet capping perimeter quantities</w:t>
      </w:r>
    </w:p>
    <w:p>
      <w:r>
        <w:t xml:space="preserve"/>
      </w:r>
    </w:p>
    <w:p>
      <w:r>
        <w:t xml:space="preserve">The 125 lm parapet perimeter established in Step 1 drives the capping item. The contractor’s preferred method (agreed with Proteus) is to overboard the existing zinc capping with 18mm WBP ply on a treated timber batten, finished with a GRP edge trim, rather than stripping and renewing. The material cost per linear metre is built up from individual components, as recorded in the pricing sheet cell notes: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b/>
                <w:bCs/>
                <w:color w:val="FFFFFF"/>
                <w:sz w:val="20"/>
                <w:szCs w:val="20"/>
              </w:rPr>
              <w:t xml:space="preserve">Component</w:t>
            </w:r>
          </w:p>
        </w:tc>
        <w:tc>
          <w:tcPr>
            <w:tcW w:type="dxa" w:w="636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b/>
                <w:bCs/>
                <w:color w:val="FFFFFF"/>
                <w:sz w:val="20"/>
                <w:szCs w:val="20"/>
              </w:rPr>
              <w:t xml:space="preserve">Rate per lm</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bCs/>
                <w:color w:val="000000"/>
                <w:sz w:val="20"/>
                <w:szCs w:val="20"/>
              </w:rPr>
              <w:t xml:space="preserve">18mm WBP ply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£8.75</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bCs/>
                <w:color w:val="000000"/>
                <w:sz w:val="20"/>
                <w:szCs w:val="20"/>
              </w:rPr>
              <w:t xml:space="preserve">Treated timber batten (47mm × 100mm × 2.4m C24)</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~£4.00 (from Additional Items CSV rate)</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bCs/>
                <w:color w:val="000000"/>
                <w:sz w:val="20"/>
                <w:szCs w:val="20"/>
              </w:rPr>
              <w:t xml:space="preserve">Fixings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£1.00</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bCs/>
                <w:color w:val="000000"/>
                <w:sz w:val="20"/>
                <w:szCs w:val="20"/>
              </w:rPr>
              <w:t xml:space="preserve">GRP Edge Trim ACTF4S03 (100/60mm) at £27.32 per 3m length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£9.10</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bCs/>
                <w:color w:val="000000"/>
                <w:sz w:val="20"/>
                <w:szCs w:val="20"/>
              </w:rPr>
              <w:t xml:space="preserve">GRP Corner pieces (12 no. across 125 lm @ £11.80 each)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~£1.13 (amortised)</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bCs/>
                <w:color w:val="000000"/>
                <w:sz w:val="20"/>
                <w:szCs w:val="20"/>
              </w:rPr>
              <w:t xml:space="preserve">Gas / consumables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£1.50</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bCs/>
                <w:color w:val="000000"/>
                <w:sz w:val="20"/>
                <w:szCs w:val="20"/>
              </w:rPr>
              <w:t xml:space="preserve">Total material cost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~£23.65/lm</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bCs/>
                <w:color w:val="000000"/>
                <w:sz w:val="20"/>
                <w:szCs w:val="20"/>
              </w:rPr>
              <w:t xml:space="preserve">Labour (fix batten, ply and trim)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£20.00/lm</w:t>
            </w:r>
          </w:p>
        </w:tc>
      </w:tr>
    </w:tbl>
    <w:p>
      <w:r>
        <w:t xml:space="preserve"/>
      </w:r>
    </w:p>
    <w:p>
      <w:r>
        <w:t xml:space="preserve">The GRP trim product code and pricing (ACTF4S03 at £27.32 per 3m = £9.10/lm) is taken directly from the OS_Trims_010925.pdf standard price list. The 100/60mm profile was chosen because it accommodates the increased finished roof level after insulation and membrane uplift while remaining within the existing capping drip edge.</w:t>
      </w:r>
    </w:p>
    <w:p>
      <w:r>
        <w:t xml:space="preserve"/>
      </w:r>
    </w:p>
    <w:p>
      <w:pPr>
        <w:pStyle w:val="Heading2"/>
      </w:pPr>
      <w:r>
        <w:t xml:space="preserve">Step 5: Count discrete items from photographs and condition report</w:t>
      </w:r>
    </w:p>
    <w:p>
      <w:r>
        <w:t xml:space="preserve"/>
      </w:r>
    </w:p>
    <w:p>
      <w:r>
        <w:t xml:space="preserve">Several line items are derived not from area take-offs but from visual counts made using the condition report photographs and the contractor’s own site visit photographs: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360"/>
        <w:gridCol w:w="1800"/>
        <w:gridCol w:w="2400"/>
      </w:tblGrid>
      <w:tr>
        <w:tc>
          <w:tcPr>
            <w:tcW w:type="dxa" w:w="18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b/>
                <w:bCs/>
                <w:color w:val="FFFFFF"/>
                <w:sz w:val="20"/>
                <w:szCs w:val="20"/>
              </w:rPr>
              <w:t xml:space="preserve">Tender item</w:t>
            </w:r>
          </w:p>
        </w:tc>
        <w:tc>
          <w:tcPr>
            <w:tcW w:type="dxa" w:w="336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b/>
                <w:bCs/>
                <w:color w:val="FFFFFF"/>
                <w:sz w:val="20"/>
                <w:szCs w:val="20"/>
              </w:rPr>
              <w:t xml:space="preserve">Count source</w:t>
            </w:r>
          </w:p>
        </w:tc>
        <w:tc>
          <w:tcPr>
            <w:tcW w:type="dxa" w:w="18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b/>
                <w:bCs/>
                <w:color w:val="FFFFFF"/>
                <w:sz w:val="20"/>
                <w:szCs w:val="20"/>
              </w:rPr>
              <w:t xml:space="preserve">Block A qty</w:t>
            </w:r>
          </w:p>
        </w:tc>
        <w:tc>
          <w:tcPr>
            <w:tcW w:type="dxa" w:w="24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b/>
                <w:bCs/>
                <w:color w:val="FFFFFF"/>
                <w:sz w:val="20"/>
                <w:szCs w:val="20"/>
              </w:rPr>
              <w:t xml:space="preserve">Unit rate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Parapet outlet gullies / lead chutes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Condition report photos 11–14; Additional Items 3.12 confirms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6 no.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£85 each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SVP pipe penetrations (lead sleeves)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Condition report photos 2, 4, 11; Additional Items 3.9 confirms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10 no.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£80 each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Lanyard anchor pole penetrations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Condition report photo 12; Additional Items 3.11 confirms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5 no.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£80 each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Lift housing roof</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Visible in photo 1; Additional Items 3.8 confirms £2,508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12 m²</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£209/m² all-in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Defective leaf guards (SVPs)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Condition report p.11 text; failing temporary repairs to outlets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2 no.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£30 each</w:t>
            </w:r>
          </w:p>
        </w:tc>
      </w:tr>
    </w:tbl>
    <w:p>
      <w:r>
        <w:t xml:space="preserve"/>
      </w:r>
    </w:p>
    <w:p>
      <w:pPr>
        <w:pStyle w:val="Heading2"/>
      </w:pPr>
      <w:r>
        <w:t xml:space="preserve">Step 6: Apply labour rates to each activity</w:t>
      </w:r>
    </w:p>
    <w:p>
      <w:r>
        <w:t xml:space="preserve"/>
      </w:r>
    </w:p>
    <w:p>
      <w:r>
        <w:t xml:space="preserve">The Felt &amp; Asphalt Supply Rates 2024 spreadsheet (Dave Lamb’s felt rates column) provides the base per-activity labour rates. These are entered into the pricing sheet’s Labour Rate column: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b/>
                <w:bCs/>
                <w:color w:val="FFFFFF"/>
                <w:sz w:val="20"/>
                <w:szCs w:val="20"/>
              </w:rPr>
              <w:t xml:space="preserve">Activity</w:t>
            </w:r>
          </w:p>
        </w:tc>
        <w:tc>
          <w:tcPr>
            <w:tcW w:type="dxa" w:w="636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b/>
                <w:bCs/>
                <w:color w:val="FFFFFF"/>
                <w:sz w:val="20"/>
                <w:szCs w:val="20"/>
              </w:rPr>
              <w:t xml:space="preserve">Labour rate used</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bCs/>
                <w:color w:val="000000"/>
                <w:sz w:val="20"/>
                <w:szCs w:val="20"/>
              </w:rPr>
              <w:t xml:space="preserve">Strip existing roof and lower to skip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£15.00/m² in pricing sheet; £30/m² all-in field rate in labour check sheet</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bCs/>
                <w:color w:val="000000"/>
                <w:sz w:val="20"/>
                <w:szCs w:val="20"/>
              </w:rPr>
              <w:t xml:space="preserve">Pro-Prime SA application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£2.00/m²</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bCs/>
                <w:color w:val="000000"/>
                <w:sz w:val="20"/>
                <w:szCs w:val="20"/>
              </w:rPr>
              <w:t xml:space="preserve">Pro-Felt AVCL (SA application)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£6.00/m²</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bCs/>
                <w:color w:val="000000"/>
                <w:sz w:val="20"/>
                <w:szCs w:val="20"/>
              </w:rPr>
              <w:t xml:space="preserve">Pro-Bond Foaming (bonding insulation)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£2.00/m²</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bCs/>
                <w:color w:val="000000"/>
                <w:sz w:val="20"/>
                <w:szCs w:val="20"/>
              </w:rPr>
              <w:t xml:space="preserve">CTF tapered insulation installation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£12.00/m²</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bCs/>
                <w:color w:val="000000"/>
                <w:sz w:val="20"/>
                <w:szCs w:val="20"/>
              </w:rPr>
              <w:t xml:space="preserve">Pro-Felt underlay (horizontal torch-on)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£6.00/m²</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bCs/>
                <w:color w:val="000000"/>
                <w:sz w:val="20"/>
                <w:szCs w:val="20"/>
              </w:rPr>
              <w:t xml:space="preserve">Pro-Felt capsheet (horizontal torch-on)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£8.00/m²</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bCs/>
                <w:color w:val="000000"/>
                <w:sz w:val="20"/>
                <w:szCs w:val="20"/>
              </w:rPr>
              <w:t xml:space="preserve">Detail upstand (prime + AVCL + underlay + capsheet)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~£24.00/lm (sum of 4 layers at £6/£8 each)</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bCs/>
                <w:color w:val="000000"/>
                <w:sz w:val="20"/>
                <w:szCs w:val="20"/>
              </w:rPr>
              <w:t xml:space="preserve">Fix angle fillet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£2.00/lm</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bCs/>
                <w:color w:val="000000"/>
                <w:sz w:val="20"/>
                <w:szCs w:val="20"/>
              </w:rPr>
              <w:t xml:space="preserve">Parapet capping (ply, batten, GRP trim)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£20.00/lm</w:t>
            </w:r>
          </w:p>
        </w:tc>
      </w:tr>
    </w:tbl>
    <w:p>
      <w:r>
        <w:t xml:space="preserve"/>
      </w:r>
    </w:p>
    <w:p>
      <w:r>
        <w:t xml:space="preserve">The handwritten pricing sheet photograph (Labour_Rates.jpg) confirms the total labour for Block A was calculated at £51,280. The all-in field rate of £30/m² noted in that document represents the combined labour for the full membrane system (strip, prime, AVCL, bond foam, insulation, underlay, capsheet) and is broadly consistent with the itemised breakdown above.</w:t>
      </w:r>
    </w:p>
    <w:p>
      <w:r>
        <w:t xml:space="preserve"/>
      </w:r>
    </w:p>
    <w:p>
      <w:pPr>
        <w:pStyle w:val="Heading2"/>
      </w:pPr>
      <w:r>
        <w:t xml:space="preserve">Step 7: Apply the pricing sheet formula structure</w:t>
      </w:r>
    </w:p>
    <w:p>
      <w:r>
        <w:t xml:space="preserve"/>
      </w:r>
    </w:p>
    <w:p>
      <w:r>
        <w:t xml:space="preserve">Once material costs and labour rates are established, the Excel pricing sheet applies a consistent formula to every line item:</w:t>
      </w:r>
    </w:p>
    <w:p>
      <w:r>
        <w:t xml:space="preserve"/>
      </w:r>
    </w:p>
    <w:p>
      <w:pPr>
        <w:pStyle w:val="ListParagraph"/>
        <w:numPr>
          <w:ilvl w:val="0"/>
          <w:numId w:val="3"/>
        </w:numPr>
      </w:pPr>
      <w:r>
        <w:t xml:space="preserve">Combined material cost per m² / lm (from self-generated Profix preferential prices).</w:t>
      </w:r>
    </w:p>
    <w:p>
      <w:pPr>
        <w:pStyle w:val="ListParagraph"/>
        <w:numPr>
          <w:ilvl w:val="0"/>
          <w:numId w:val="3"/>
        </w:numPr>
      </w:pPr>
      <w:r>
        <w:t xml:space="preserve">Add 10% material waste factor (automatically calculated in the formula).</w:t>
      </w:r>
    </w:p>
    <w:p>
      <w:pPr>
        <w:pStyle w:val="ListParagraph"/>
        <w:numPr>
          <w:ilvl w:val="0"/>
          <w:numId w:val="3"/>
        </w:numPr>
      </w:pPr>
      <w:r>
        <w:t xml:space="preserve">Add labour rate per m² / lm (from Felt &amp; Asphalt Supply Rates 2024 and agreed rates).</w:t>
      </w:r>
    </w:p>
    <w:p>
      <w:pPr>
        <w:pStyle w:val="ListParagraph"/>
        <w:numPr>
          <w:ilvl w:val="0"/>
          <w:numId w:val="3"/>
        </w:numPr>
      </w:pPr>
      <w:r>
        <w:t xml:space="preserve">Combined unit cost = (material + waste) + labour.</w:t>
      </w:r>
    </w:p>
    <w:p>
      <w:pPr>
        <w:pStyle w:val="ListParagraph"/>
        <w:numPr>
          <w:ilvl w:val="0"/>
          <w:numId w:val="3"/>
        </w:numPr>
      </w:pPr>
      <w:r>
        <w:t xml:space="preserve">Apply profit margin: 27.5% on all roofing work items; 30% on preliminary items.</w:t>
      </w:r>
    </w:p>
    <w:p>
      <w:pPr>
        <w:pStyle w:val="ListParagraph"/>
        <w:numPr>
          <w:ilvl w:val="0"/>
          <w:numId w:val="3"/>
        </w:numPr>
      </w:pPr>
      <w:r>
        <w:t xml:space="preserve">Item total = combined unit cost × quantity.</w:t>
      </w:r>
    </w:p>
    <w:p>
      <w:r>
        <w:t xml:space="preserve"/>
      </w:r>
    </w:p>
    <w:p>
      <w:r>
        <w:t xml:space="preserve">The profit margin is hardcoded in the sheet as 0.275 (main works) and 0.3 (prelims). The separate PRS Profit Per Item column isolates the contractor’s margin for management reporting, distinct from the Profix subcontractor cost.</w:t>
      </w:r>
    </w:p>
    <w:p>
      <w:r>
        <w:t xml:space="preserve"/>
      </w:r>
    </w:p>
    <w:p>
      <w:pPr>
        <w:pStyle w:val="Heading2"/>
      </w:pPr>
      <w:r>
        <w:t xml:space="preserve">Step 8: Scale Block A to Blocks B and C</w:t>
      </w:r>
    </w:p>
    <w:p>
      <w:r>
        <w:t xml:space="preserve"/>
      </w:r>
    </w:p>
    <w:p>
      <w:r>
        <w:t xml:space="preserve">The pricing sheet carries an explicit note to “pro-rata the above to the other blocks for City Restoration.” In the final tender, the contractor applied adjusted areas and perimeters while retaining the same unit rates: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2160"/>
        <w:gridCol w:w="2200"/>
      </w:tblGrid>
      <w:tr>
        <w:tc>
          <w:tcPr>
            <w:tcW w:type="dxa" w:w="8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b w:val="Strip unit rate"/>
                <w:bCs w:val="Strip unit rate"/>
                <w:color w:val="FFFFFF"/>
                <w:sz w:val="20"/>
                <w:szCs w:val="20"/>
              </w:rPr>
              <w:t xml:space="preserve">Block</w:t>
            </w:r>
          </w:p>
        </w:tc>
        <w:tc>
          <w:tcPr>
            <w:tcW w:type="dxa" w:w="20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b w:val="Strip unit rate"/>
                <w:bCs w:val="Strip unit rate"/>
                <w:color w:val="FFFFFF"/>
                <w:sz w:val="20"/>
                <w:szCs w:val="20"/>
              </w:rPr>
              <w:t xml:space="preserve">Field area</w:t>
            </w:r>
          </w:p>
        </w:tc>
        <w:tc>
          <w:tcPr>
            <w:tcW w:type="dxa" w:w="216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b w:val="Strip unit rate"/>
                <w:bCs w:val="Strip unit rate"/>
                <w:color w:val="FFFFFF"/>
                <w:sz w:val="20"/>
                <w:szCs w:val="20"/>
              </w:rPr>
              <w:t xml:space="preserve">Capping perimeter</w:t>
            </w:r>
          </w:p>
        </w:tc>
        <w:tc>
          <w:tcPr>
            <w:tcW w:type="dxa" w:w="22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b w:val="Strip unit rate"/>
                <w:bCs w:val="Strip unit rate"/>
                <w:color w:val="FFFFFF"/>
                <w:sz w:val="20"/>
                <w:szCs w:val="20"/>
              </w:rPr>
              <w:t xml:space="preserve">Outlets</w:t>
            </w:r>
          </w:p>
        </w:tc>
      </w:tr>
      <w:tr>
        <w:tc>
          <w:tcPr>
            <w:tcW w:type="dxa" w:w="8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b w:val="£27.50/m²"/>
                <w:bCs w:val="£27.50/m²"/>
                <w:color w:val="FFFFFF"/>
                <w:sz w:val="20"/>
                <w:szCs w:val="20"/>
              </w:rPr>
              <w:t xml:space="preserve">A</w:t>
            </w:r>
          </w:p>
        </w:tc>
        <w:tc>
          <w:tcPr>
            <w:tcW w:type="dxa" w:w="20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b w:val="£27.50/m²"/>
                <w:bCs w:val="£27.50/m²"/>
                <w:color w:val="FFFFFF"/>
                <w:sz w:val="20"/>
                <w:szCs w:val="20"/>
              </w:rPr>
              <w:t xml:space="preserve">560 m²</w:t>
            </w:r>
          </w:p>
        </w:tc>
        <w:tc>
          <w:tcPr>
            <w:tcW w:type="dxa" w:w="216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b w:val="£27.50/m²"/>
                <w:bCs w:val="£27.50/m²"/>
                <w:color w:val="FFFFFF"/>
                <w:sz w:val="20"/>
                <w:szCs w:val="20"/>
              </w:rPr>
              <w:t xml:space="preserve">125 lm</w:t>
            </w:r>
          </w:p>
        </w:tc>
        <w:tc>
          <w:tcPr>
            <w:tcW w:type="dxa" w:w="22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b w:val="£27.50/m²"/>
                <w:bCs w:val="£27.50/m²"/>
                <w:color w:val="FFFFFF"/>
                <w:sz w:val="20"/>
                <w:szCs w:val="20"/>
              </w:rPr>
              <w:t xml:space="preserve">6 no.</w:t>
            </w:r>
          </w:p>
        </w:tc>
      </w:tr>
      <w:tr>
        <w:tc>
          <w:tcPr>
            <w:tcW w:type="dxa" w:w="8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b w:val="£27.10/m²"/>
                <w:bCs w:val="£27.10/m²"/>
                <w:color w:val="FFFFFF"/>
                <w:sz w:val="20"/>
                <w:szCs w:val="20"/>
              </w:rPr>
              <w:t xml:space="preserve">B</w:t>
            </w:r>
          </w:p>
        </w:tc>
        <w:tc>
          <w:tcPr>
            <w:tcW w:type="dxa" w:w="20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b w:val="£27.10/m²"/>
                <w:bCs w:val="£27.10/m²"/>
                <w:color w:val="FFFFFF"/>
                <w:sz w:val="20"/>
                <w:szCs w:val="20"/>
              </w:rPr>
              <w:t xml:space="preserve">540 m²</w:t>
            </w:r>
          </w:p>
        </w:tc>
        <w:tc>
          <w:tcPr>
            <w:tcW w:type="dxa" w:w="216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b w:val="£27.10/m²"/>
                <w:bCs w:val="£27.10/m²"/>
                <w:color w:val="FFFFFF"/>
                <w:sz w:val="20"/>
                <w:szCs w:val="20"/>
              </w:rPr>
              <w:t xml:space="preserve">135 lm</w:t>
            </w:r>
          </w:p>
        </w:tc>
        <w:tc>
          <w:tcPr>
            <w:tcW w:type="dxa" w:w="22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b w:val="£27.10/m²"/>
                <w:bCs w:val="£27.10/m²"/>
                <w:color w:val="FFFFFF"/>
                <w:sz w:val="20"/>
                <w:szCs w:val="20"/>
              </w:rPr>
              <w:t xml:space="preserve">7 no.</w:t>
            </w:r>
          </w:p>
        </w:tc>
      </w:tr>
      <w:tr>
        <w:tc>
          <w:tcPr>
            <w:tcW w:type="dxa" w:w="8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b w:val="£27.50/m²"/>
                <w:bCs w:val="£27.50/m²"/>
                <w:color w:val="FFFFFF"/>
                <w:sz w:val="20"/>
                <w:szCs w:val="20"/>
              </w:rPr>
              <w:t xml:space="preserve">C</w:t>
            </w:r>
          </w:p>
        </w:tc>
        <w:tc>
          <w:tcPr>
            <w:tcW w:type="dxa" w:w="20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b w:val="£27.50/m²"/>
                <w:bCs w:val="£27.50/m²"/>
                <w:color w:val="FFFFFF"/>
                <w:sz w:val="20"/>
                <w:szCs w:val="20"/>
              </w:rPr>
              <w:t xml:space="preserve">480 m²</w:t>
            </w:r>
          </w:p>
        </w:tc>
        <w:tc>
          <w:tcPr>
            <w:tcW w:type="dxa" w:w="216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b w:val="£27.50/m²"/>
                <w:bCs w:val="£27.50/m²"/>
                <w:color w:val="FFFFFF"/>
                <w:sz w:val="20"/>
                <w:szCs w:val="20"/>
              </w:rPr>
              <w:t xml:space="preserve">100 lm</w:t>
            </w:r>
          </w:p>
        </w:tc>
        <w:tc>
          <w:tcPr>
            <w:tcW w:type="dxa" w:w="22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b w:val="£27.50/m²"/>
                <w:bCs w:val="£27.50/m²"/>
                <w:color w:val="FFFFFF"/>
                <w:sz w:val="20"/>
                <w:szCs w:val="20"/>
              </w:rPr>
              <w:t xml:space="preserve">7 no.</w:t>
            </w:r>
          </w:p>
        </w:tc>
      </w:tr>
    </w:tbl>
    <w:p>
      <w:r>
        <w:t xml:space="preserve"/>
      </w:r>
    </w:p>
    <w:p>
      <w:r>
        <w:br w:type="page"/>
      </w:r>
    </w:p>
    <w:p>
      <w:pPr>
        <w:pStyle w:val="Heading1"/>
      </w:pPr>
      <w:r>
        <w:t xml:space="preserve">3.  Documents Ignored as Not Directly Relevant to Calculations</w:t>
      </w:r>
    </w:p>
    <w:p>
      <w:r>
        <w:t xml:space="preserve"/>
      </w:r>
    </w:p>
    <w:p>
      <w:pPr>
        <w:pStyle w:val="Heading2"/>
      </w:pPr>
      <w:r>
        <w:t xml:space="preserve">3.1  Proteus product specification (Product_Specification.pdf)</w:t>
      </w:r>
    </w:p>
    <w:p>
      <w:r>
        <w:t xml:space="preserve"/>
      </w:r>
    </w:p>
    <w:p>
      <w:r>
        <w:t xml:space="preserve">This 25-page installation specification defines the correct installation sequence, lap dimensions, fastener spacings, and safety requirements. It validates the system choice and provides the compliance framework (BS 6229, BS 8217, Approved Document B and L). However, it contains no figures that feed directly into quantity or cost calculations — its role is guidance and compliance rather than pricing. The contractor will reference it during installation but it does not drive any take-off number.</w:t>
      </w:r>
    </w:p>
    <w:p>
      <w:r>
        <w:t xml:space="preserve"/>
      </w:r>
    </w:p>
    <w:p>
      <w:pPr>
        <w:pStyle w:val="Heading2"/>
      </w:pPr>
      <w:r>
        <w:t xml:space="preserve">3.2  Photographic schedule</w:t>
      </w:r>
    </w:p>
    <w:p>
      <w:r>
        <w:t xml:space="preserve"/>
      </w:r>
    </w:p>
    <w:p>
      <w:r>
        <w:t xml:space="preserve">The 16 photographs across all three blocks (25_044_Tradewinds_Photos.pdf and the accompanying site JPEGs) were used qualitatively to understand site conditions and to count discrete items such as outlets and pipe penetrations. No dimensions or areas were scaled directly from the photographs. The aerial plan in Appendix 1 is used as a visual reference for the footprint but the actual area figure came from the Proteus CTF quotation and contractor take-off rather than photogrammetric scaling.</w:t>
      </w:r>
    </w:p>
    <w:p>
      <w:r>
        <w:t xml:space="preserve"/>
      </w:r>
    </w:p>
    <w:p>
      <w:pPr>
        <w:pStyle w:val="Heading2"/>
      </w:pPr>
      <w:r>
        <w:t xml:space="preserve">3.3  Schedule of Works covering letter (Schedule_of_Works_Tradewinds.docx)</w:t>
      </w:r>
    </w:p>
    <w:p>
      <w:r>
        <w:t xml:space="preserve"/>
      </w:r>
    </w:p>
    <w:p>
      <w:r>
        <w:t xml:space="preserve">Owen Lynam’s covering letter provides commercial context only: phasing instruction (Block A first, B and C later), access constraint (scaffold tower and hoist only, lanyards required), and the invitation to tender. It contains no specification or dimensional data and none of its content was used in quantity calculations.</w:t>
      </w:r>
    </w:p>
    <w:p>
      <w:r>
        <w:t xml:space="preserve"/>
      </w:r>
    </w:p>
    <w:p>
      <w:pPr>
        <w:pStyle w:val="Heading2"/>
      </w:pPr>
      <w:r>
        <w:t xml:space="preserve">3.4  Open-sale ancillary and trim price lists (OS_Ancillary and OS_Trims)</w:t>
      </w:r>
    </w:p>
    <w:p>
      <w:r>
        <w:t xml:space="preserve"/>
      </w:r>
    </w:p>
    <w:p>
      <w:r>
        <w:t xml:space="preserve">Two versions of the Proteus ancillary and GRP trim price lists were supplied: OS prefix (open-sale / standard list prices) and S prefix (self-generated / preferential prices). The contractor used the S-prefix documents and the bespoke project quotation exclusively. The OS lists were not used in any cost calculation.</w:t>
      </w:r>
    </w:p>
    <w:p>
      <w:r>
        <w:t xml:space="preserve"/>
      </w:r>
    </w:p>
    <w:p>
      <w:pPr>
        <w:pStyle w:val="Heading2"/>
      </w:pPr>
      <w:r>
        <w:t xml:space="preserve">3.5  Health, safety, and regulatory sections of the specification</w:t>
      </w:r>
    </w:p>
    <w:p>
      <w:r>
        <w:t xml:space="preserve"/>
      </w:r>
    </w:p>
    <w:p>
      <w:r>
        <w:t xml:space="preserve">Pages 7–13 of the product specification (Codes of Practice, Building Regulations, Safe2Torch Guidelines, H&amp;S obligations) inform the method statement and the prelim items in the pricing sheet but do not drive material quantity calculations. They are compliance obligations rather than pricing inputs.</w:t>
      </w:r>
    </w:p>
    <w:p>
      <w:r>
        <w:t xml:space="preserve"/>
      </w:r>
    </w:p>
    <w:p>
      <w:pPr>
        <w:pStyle w:val="Heading1"/>
      </w:pPr>
      <w:r>
        <w:t xml:space="preserve">4.  Particularly Important Documents and Key Elements</w:t>
      </w:r>
    </w:p>
    <w:p>
      <w:r>
        <w:t xml:space="preserve"/>
      </w:r>
    </w:p>
    <w:p>
      <w:pPr>
        <w:pStyle w:val="Heading2"/>
      </w:pPr>
      <w:r>
        <w:t xml:space="preserve">4.1  Proteus CTF tapered insulation quotation — Critical</w:t>
      </w:r>
    </w:p>
    <w:p>
      <w:r>
        <w:t xml:space="preserve"/>
      </w:r>
    </w:p>
    <w:p>
      <w:r>
        <w:t xml:space="preserve">This document is the single most important pricing input after the area take-off. It provides: confirmed roof areas for Block 1 (392 m²) and Block 2 (361 m²) as measured by Proteus’s own design team; lump-sum prices (£26,852 and £24,990); the design parameters (1:60 fall, 0.16 W/m²K); and the bonding area figures. Without this document the insulation cost cannot be estimated — the CTF scheme is bespoke to each project and cannot be derived from standard product rates.</w:t>
      </w:r>
    </w:p>
    <w:p>
      <w:r>
        <w:t xml:space="preserve"/>
      </w:r>
    </w:p>
    <w:p>
      <w:pPr>
        <w:pStyle w:val="Heading2"/>
      </w:pPr>
      <w:r>
        <w:t xml:space="preserve">4.2  Self-generated Profix materials quotation (Q_2221717_Tradewinds_PFUPB_Profix) — Critical</w:t>
      </w:r>
    </w:p>
    <w:p>
      <w:r>
        <w:t xml:space="preserve"/>
      </w:r>
    </w:p>
    <w:p>
      <w:r>
        <w:t xml:space="preserve">This document provides the contractor’s preferential unit prices for all Proteus membrane products, along with the roll dimensions used to calculate coverage rates. All per-m² material costs in the pricing sheet are derived directly from this quotation. Using the standard open-sale prices instead would produce materially higher material costs and reduce the competitiveness of the tender.</w:t>
      </w:r>
    </w:p>
    <w:p>
      <w:r>
        <w:t xml:space="preserve"/>
      </w:r>
    </w:p>
    <w:p>
      <w:pPr>
        <w:pStyle w:val="Heading2"/>
      </w:pPr>
      <w:r>
        <w:t xml:space="preserve">4.3  Proteus condition report (16 December 2025) — Critical</w:t>
      </w:r>
    </w:p>
    <w:p>
      <w:r>
        <w:t xml:space="preserve"/>
      </w:r>
    </w:p>
    <w:p>
      <w:r>
        <w:t xml:space="preserve">The condition report drives two fundamental decisions that affect the entire cost structure: (1) full strip-out is required because of saturated core samples, which cannot be known without this report; and (2) the thermal upgrade target of 0.16 W/m²K is confirmed here, locking in the need for a CTF tapered scheme. The report also flags low upstands, failing cappings, surface lightning conductors, and fall-arrest penetrations — each of which generated a discrete tender line item.</w:t>
      </w:r>
    </w:p>
    <w:p>
      <w:r>
        <w:t xml:space="preserve"/>
      </w:r>
    </w:p>
    <w:p>
      <w:pPr>
        <w:pStyle w:val="Heading2"/>
      </w:pPr>
      <w:r>
        <w:t xml:space="preserve">4.4  Felt &amp; Asphalt Supply Rates 2024 spreadsheet — Critical</w:t>
      </w:r>
    </w:p>
    <w:p>
      <w:r>
        <w:t xml:space="preserve"/>
      </w:r>
    </w:p>
    <w:p>
      <w:r>
        <w:t xml:space="preserve">The labour rates spreadsheet (Dave Lamb’s felt rates column) is the source for all per-activity labour rates in the pricing sheet. Without agreed, documented labour rates the pricing sheet cannot calculate a meaningful cost — the labour element is comparable in magnitude to the materials. The spreadsheet also contains a Steve Rawls column providing an independent sense-check for the overall m² all-in rates.</w:t>
      </w:r>
    </w:p>
    <w:p>
      <w:r>
        <w:t xml:space="preserve"/>
      </w:r>
    </w:p>
    <w:p>
      <w:pPr>
        <w:pStyle w:val="Heading2"/>
      </w:pPr>
      <w:r>
        <w:t xml:space="preserve">4.5  Handwritten pricing sheet photograph (Labour_Rates.jpg) — Important</w:t>
      </w:r>
    </w:p>
    <w:p>
      <w:r>
        <w:t xml:space="preserve"/>
      </w:r>
    </w:p>
    <w:p>
      <w:r>
        <w:t xml:space="preserve">This photograph captures an intermediate hand-calculation document used to verify total labour before populating the Excel model. It confirms: total labour of £51,280; the SA membrane system as the specified approach; per-layer rates (prime £2/m², AVCL £6/m², underlay £6/m², capsheet £8/m²); detail rate of £24/lm; and intermediate sub-totals (R1 500 m², R2 386 m², £34,400) that appear to be the field and perimeter area checks.</w:t>
      </w:r>
    </w:p>
    <w:p>
      <w:r>
        <w:t xml:space="preserve"/>
      </w:r>
    </w:p>
    <w:p>
      <w:pPr>
        <w:pStyle w:val="Heading2"/>
      </w:pPr>
      <w:r>
        <w:t xml:space="preserve">4.6  Additional Items and Costs schedule (Block A CSV) — Important</w:t>
      </w:r>
    </w:p>
    <w:p>
      <w:r>
        <w:t xml:space="preserve"/>
      </w:r>
    </w:p>
    <w:p>
      <w:r>
        <w:t xml:space="preserve">This schedule, provided by the surveyor / contract administrator, confirms and prices the extra-over scope items for Block A that sit outside the core waterproofing package: substrate vacuum and drying (£1,680), parapet raising (£2,750 extra over), lift housing roof (£2,508), SVP penetrations (£800), lanyard poles (£400), lead outlet chutes (£1,560). Total confirmed additional items: £9,698. This schedule validates the discrete item counts derived from the photographs.</w:t>
      </w:r>
    </w:p>
    <w:p>
      <w:r>
        <w:t xml:space="preserve"/>
      </w:r>
    </w:p>
    <w:p>
      <w:r>
        <w:br w:type="page"/>
      </w:r>
    </w:p>
    <w:p>
      <w:pPr>
        <w:pStyle w:val="Heading1"/>
      </w:pPr>
      <w:r>
        <w:t xml:space="preserve">5.  Assumptions Made by the Contractor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b/>
                <w:bCs/>
                <w:color w:val="FFFFFF"/>
                <w:sz w:val="20"/>
                <w:szCs w:val="20"/>
              </w:rPr>
              <w:t xml:space="preserve">Assumption</w:t>
            </w:r>
          </w:p>
        </w:tc>
        <w:tc>
          <w:tcPr>
            <w:tcW w:type="dxa" w:w="636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b/>
                <w:bCs/>
                <w:color w:val="FFFFFF"/>
                <w:sz w:val="20"/>
                <w:szCs w:val="20"/>
              </w:rPr>
              <w:t xml:space="preserve">Basis and implication</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bCs/>
                <w:color w:val="000000"/>
                <w:sz w:val="20"/>
                <w:szCs w:val="20"/>
              </w:rPr>
              <w:t xml:space="preserve">Field area is 560 m² (Block 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Contractor’s own take-off from aerial plan and site visit. Proteus CTF quotation uses 392 m² (net bonding area). The contractor’s figure is gross and includes perimeter zones excluded from the CTF bonding area.</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bCs/>
                <w:color w:val="000000"/>
                <w:sz w:val="20"/>
                <w:szCs w:val="20"/>
              </w:rPr>
              <w:t xml:space="preserve">Total felt area is 592 m²</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Adds ~32 m² for upstand membrane returns (125 lm × 250 mm). Standard industry allowance for single-skin upstand overlap onto the horizontal.</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bCs/>
                <w:color w:val="000000"/>
                <w:sz w:val="20"/>
                <w:szCs w:val="20"/>
              </w:rPr>
              <w:t xml:space="preserve">Detail perimeter is 125 lm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Estimated from site visit and aerial plan. Not confirmed by a formal measured survey. Any significant discrepancy would affect all lm-based items.</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bCs/>
                <w:color w:val="000000"/>
                <w:sz w:val="20"/>
                <w:szCs w:val="20"/>
              </w:rPr>
              <w:t xml:space="preserve">Parapet raising by overboarding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Agreed with Proteus as preferred method to avoid full capping strip and reduce programme time. Assumes existing cappings are structurally sound. Subject to site review at commencement.</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bCs/>
                <w:color w:val="000000"/>
                <w:sz w:val="20"/>
                <w:szCs w:val="20"/>
              </w:rPr>
              <w:t xml:space="preserve">6 outlets on Block A, 7 each on B and C</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Visual count from condition report photographs. Block A count confirmed by Additional Items schedule. Counts for B and C are estimates from photographs only.</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bCs/>
                <w:color w:val="000000"/>
                <w:sz w:val="20"/>
                <w:szCs w:val="20"/>
              </w:rPr>
              <w:t xml:space="preserve">10 SVP penetrations (Block 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Visual count from photographs. Confirmed by Additional Items schedule (3.9: 10 nr).</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bCs/>
                <w:color w:val="000000"/>
                <w:sz w:val="20"/>
                <w:szCs w:val="20"/>
              </w:rPr>
              <w:t xml:space="preserve">5 lanyard anchor points (Block 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Visual count from photographs. Confirmed by Additional Items schedule (3.11: 5 nr).</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bCs/>
                <w:color w:val="000000"/>
                <w:sz w:val="20"/>
                <w:szCs w:val="20"/>
              </w:rPr>
              <w:t xml:space="preserve">Lift housing roof: 12 m²</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Visual estimate from photograph 1. Additional Items schedule confirms £2,508 for this item.</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bCs/>
                <w:color w:val="000000"/>
                <w:sz w:val="20"/>
                <w:szCs w:val="20"/>
              </w:rPr>
              <w:t xml:space="preserve">Scaffold and hoist provided by others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Based on Owen Lynam’s covering letter. Contractor qualifies all strip costs on the assumption rubbish chute / hoist to skip level is provided by main contractor.</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bCs/>
                <w:color w:val="000000"/>
                <w:sz w:val="20"/>
                <w:szCs w:val="20"/>
              </w:rPr>
              <w:t xml:space="preserve">Lightning conductor works for others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Condition report notes conductors surface-fixed. Contractor explicitly excludes removal and reinstatement (recorded in tender qualification column).</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bCs/>
                <w:color w:val="000000"/>
                <w:sz w:val="20"/>
                <w:szCs w:val="20"/>
              </w:rPr>
              <w:t xml:space="preserve">CTF insulation area reconciliation pending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Pricing sheet note “NEEDS CHECKING???”. In the final tender, insulation is re-expressed as 560 m² at £66.65/m², producing £37,324 vs Proteus’s quoted £26,852 — a significant difference. The pricing sheet area (392 m²) was the Proteus bonding area; the final tender uses the gross roof area. This needs formal reconciliation with Proteus.</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bCs/>
                <w:color w:val="000000"/>
                <w:sz w:val="20"/>
                <w:szCs w:val="20"/>
              </w:rPr>
              <w:t xml:space="preserve">No major concrete deck structural repairs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No concrete repair line item in the pricing sheet. Condition report indicates surface damage only; structural deck assumed sound. FastFill mortar repair treated as sundry rather than measured work.</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bCs/>
                <w:color w:val="000000"/>
                <w:sz w:val="20"/>
                <w:szCs w:val="20"/>
              </w:rPr>
              <w:t xml:space="preserve">Pro-Bond adhesive excluded from CTF price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Proteus CTF quotation states “adhesive to be allowed for separately.” Contractor prices this at £1.75/m² × 560 m² as a separate line.</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bCs/>
                <w:color w:val="000000"/>
                <w:sz w:val="20"/>
                <w:szCs w:val="20"/>
              </w:rPr>
              <w:t xml:space="preserve">Blocks B and C pro-rated from Block 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Stated in pricing sheet note. Unit rates held constant; areas adjusted. An approximation: perimeter-to-area ratios and detail complexity may differ, particularly for Block C which has a different roof profile and lower building height.</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bCs/>
                <w:color w:val="000000"/>
                <w:sz w:val="20"/>
                <w:szCs w:val="20"/>
              </w:rPr>
              <w:t xml:space="preserve">10% material waste applied throughout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Applied uniformly via pricing sheet formula. Industry standard for flat roofing membrane materials.</w:t>
            </w:r>
          </w:p>
        </w:tc>
      </w:tr>
    </w:tbl>
    <w:p>
      <w:r>
        <w:t xml:space="preserve"/>
      </w:r>
    </w:p>
    <w:p>
      <w:pPr>
        <w:pStyle w:val="Heading1"/>
      </w:pPr>
      <w:r>
        <w:t xml:space="preserve">6.  Elements That Remain Unclear from the Input Documents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b/>
                <w:bCs/>
                <w:color w:val="FFFFFF"/>
                <w:sz w:val="20"/>
                <w:szCs w:val="20"/>
              </w:rPr>
              <w:t xml:space="preserve">Unclear element</w:t>
            </w:r>
          </w:p>
        </w:tc>
        <w:tc>
          <w:tcPr>
            <w:tcW w:type="dxa" w:w="636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bCs/>
                <w:color w:val="000000"/>
                <w:sz w:val="20"/>
                <w:szCs w:val="20"/>
              </w:rPr>
              <w:t xml:space="preserve">Exact gross roof area of Block 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No CAD drawings or formal measured survey provided. The contractor uses 560 m²; Proteus uses 392 m² for CTF bonding area. The ~168 m² difference is unresolved and acknowledged in the pricing sheet.</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bCs/>
                <w:color w:val="000000"/>
                <w:sz w:val="20"/>
                <w:szCs w:val="20"/>
              </w:rPr>
              <w:t xml:space="preserve">Insulation area reconciliation (CTF Blocks 1/2 vs. Tender Blocks A/B/C)</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The CTF quotation Blocks 1 and 2 (392 + 361 = 753 m²) do not directly correspond to the tender block gross areas (560 + 540 + 480 = 1,580 m²). It is unclear whether Blocks 1 and 2 cover only A and B, or whether the pricing approach for all three blocks has been properly reconciled.</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bCs/>
                <w:color w:val="000000"/>
                <w:sz w:val="20"/>
                <w:szCs w:val="20"/>
              </w:rPr>
              <w:t xml:space="preserve">Concrete deck condition at strip-out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Core samples show saturation but surface crack extent is not quantified. If concrete repairs are more significant than assumed, preparation costs could materially increase.</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bCs/>
                <w:color w:val="000000"/>
                <w:sz w:val="20"/>
                <w:szCs w:val="20"/>
              </w:rPr>
              <w:t xml:space="preserve">Compartment wall locations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The condition report explicitly states it cannot identify party wall locations. Additional compartmentation costs may arise at commencement. Contractor acknowledges this in tender qualifications.</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bCs/>
                <w:color w:val="000000"/>
                <w:sz w:val="20"/>
                <w:szCs w:val="20"/>
              </w:rPr>
              <w:t xml:space="preserve">Upstand heights at individual locations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The condition report identifies low upstands generally but does not measure them individually. The 125 lm parapet raising cost assumes a uniform height increase. In practice the height increase will vary.</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bCs/>
                <w:color w:val="000000"/>
                <w:sz w:val="20"/>
                <w:szCs w:val="20"/>
              </w:rPr>
              <w:t xml:space="preserve">Window cleaning arm (items 2.14 / 4.14)</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Marked as ‘others’ in the tender (provisional item). Contractor cannot determine scope until on site.</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bCs/>
                <w:color w:val="000000"/>
                <w:sz w:val="20"/>
                <w:szCs w:val="20"/>
              </w:rPr>
              <w:t xml:space="preserve">Gas consumption for torch-on works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The £0.75/m² gas allowance is an estimate. Actual consumption will depend on moisture content at time of installation, ambient temperature, and roof geometry.</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bCs/>
                <w:color w:val="000000"/>
                <w:sz w:val="20"/>
                <w:szCs w:val="20"/>
              </w:rPr>
              <w:t xml:space="preserve">Labour subcontractor rates (Dave Lamb)</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Pricing sheet note: “NEED TO CONFIRM LABOUR RATES...WITH DAVE LAMB ON MONDAY.” Labour rate agreement was still pending at the time the sheet was constructed.</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bCs/>
                <w:color w:val="000000"/>
                <w:sz w:val="20"/>
                <w:szCs w:val="20"/>
              </w:rPr>
              <w:t xml:space="preserve">Block C existing roof condition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The condition report covers only Areas 1 and 2 (Blocks A and B main roofs). No core samples or detailed observations are recorded for Block C. Photographs 15 and 16 show external elevations only — the contractor has no survey data for Block C.</w:t>
            </w:r>
          </w:p>
        </w:tc>
      </w:tr>
    </w:tbl>
    <w:p>
      <w:r>
        <w:t xml:space="preserve"/>
      </w:r>
    </w:p>
    <w:p>
      <w:r>
        <w:br w:type="page"/>
      </w:r>
    </w:p>
    <w:p>
      <w:pPr>
        <w:pStyle w:val="Heading1"/>
      </w:pPr>
      <w:r>
        <w:t xml:space="preserve">7.  Additional Notes Relevant to the Estimation Process</w:t>
      </w:r>
    </w:p>
    <w:p>
      <w:r>
        <w:t xml:space="preserve"/>
      </w:r>
    </w:p>
    <w:p>
      <w:pPr>
        <w:pStyle w:val="Heading2"/>
      </w:pPr>
      <w:r>
        <w:t xml:space="preserve">7.1  Two-version structure of the pricing sheet</w:t>
      </w:r>
    </w:p>
    <w:p>
      <w:r>
        <w:t xml:space="preserve"/>
      </w:r>
    </w:p>
    <w:p>
      <w:r>
        <w:t xml:space="preserve">The pricing sheet Excel file contains three tabs: ‘PRS Pricing Tradewinds’, ‘PRS Tender’, and ‘PRS Pricing document (2)’. The first and third tabs are near-identical, suggesting the contractor maintained parallel versions for the two client engagements (Mend Building / Block A and City Restoration / Blocks B &amp; C) within the same file. The ‘PRS Tender’ tab is the summary rollup that aggregates detailed pricing into the final rates presented to the client.</w:t>
      </w:r>
    </w:p>
    <w:p>
      <w:r>
        <w:t xml:space="preserve"/>
      </w:r>
    </w:p>
    <w:p>
      <w:pPr>
        <w:pStyle w:val="Heading2"/>
      </w:pPr>
      <w:r>
        <w:t xml:space="preserve">7.2  Self-generated vs. open-sale price distinction</w:t>
      </w:r>
    </w:p>
    <w:p>
      <w:r>
        <w:t xml:space="preserve"/>
      </w:r>
    </w:p>
    <w:p>
      <w:r>
        <w:t xml:space="preserve">The contractor’s preferential account with Proteus Waterproofing yields a different price set from the standard open-sale list. Both sets of ancillary products and trim price lists were provided. Comparison reveals minor differences (e.g. angle fillet: OS £5.98 vs S £6.58; note the self-generated price is slightly higher here, likely a later-dated price revision). For membrane products the bespoke project quotation (Q_2221717) is what the contractor uses; these represent negotiated project-specific pricing.</w:t>
      </w:r>
    </w:p>
    <w:p>
      <w:r>
        <w:t xml:space="preserve"/>
      </w:r>
    </w:p>
    <w:p>
      <w:pPr>
        <w:pStyle w:val="Heading2"/>
      </w:pPr>
      <w:r>
        <w:t xml:space="preserve">7.3  The handwritten sheet as a labour verification tool</w:t>
      </w:r>
    </w:p>
    <w:p>
      <w:r>
        <w:t xml:space="preserve"/>
      </w:r>
    </w:p>
    <w:p>
      <w:r>
        <w:t xml:space="preserve">The handwritten pricing sheet photograph represents an intermediate ‘back-of-envelope’ check rather than a primary calculation document. The contractor used it to total labour across the whole job (£51,280) before committing values to Excel, providing a sanity check against the per-activity rate build-up. The all-in field rate of £30/m² for the full membrane system is consistent with industry norms for a high-rise warm roof on a wet, contaminated substrate requiring specialist access.</w:t>
      </w:r>
    </w:p>
    <w:p>
      <w:r>
        <w:t xml:space="preserve"/>
      </w:r>
    </w:p>
    <w:p>
      <w:pPr>
        <w:pStyle w:val="Heading2"/>
      </w:pPr>
      <w:r>
        <w:t xml:space="preserve">7.4  The SA vs. torch-on product decision</w:t>
      </w:r>
    </w:p>
    <w:p>
      <w:r>
        <w:t xml:space="preserve"/>
      </w:r>
    </w:p>
    <w:p>
      <w:r>
        <w:t xml:space="preserve">The condition report and Proteus specification both require self-adhesive (SA) membranes for the AVCL and fire-risk upstand areas under Safe2Torch requirements for a residential building. The contractor’s pricing uses the SA AVCL across the full 592 m². Torch-on products are applied only for the horizontal underlay and capsheet layers, where the underlying SA AVCL provides adequate fire separation from the substrate. This distinction is technically correct and affects material costs materially (SA products are more expensive per m² but eliminate open-flame risk on the deck).</w:t>
      </w:r>
    </w:p>
    <w:p>
      <w:r>
        <w:t xml:space="preserve"/>
      </w:r>
    </w:p>
    <w:p>
      <w:pPr>
        <w:pStyle w:val="Heading2"/>
      </w:pPr>
      <w:r>
        <w:t xml:space="preserve">7.5  Night / day joint and sundries allowances</w:t>
      </w:r>
    </w:p>
    <w:p>
      <w:r>
        <w:t xml:space="preserve"/>
      </w:r>
    </w:p>
    <w:p>
      <w:r>
        <w:t xml:space="preserve">A night/day joint line item is priced at £0.75/m² materials (6 rolls of 3mm plain underlay + gas = £410 ÷ 560 m²) plus £1.00/m² labour, applied across the full 560 m² as a conservative daily-sealing allowance. A flat £500 sundries lump sum covers consumables: pro-joint tape, flexi-strip, bitumen sealant, protection board offcuts, and minor fixing items.</w:t>
      </w:r>
    </w:p>
    <w:p>
      <w:r>
        <w:t xml:space="preserve"/>
      </w:r>
    </w:p>
    <w:p>
      <w:pPr>
        <w:pStyle w:val="Heading2"/>
      </w:pPr>
      <w:r>
        <w:t xml:space="preserve">7.6  Wet vacuum and substrate drying costing</w:t>
      </w:r>
    </w:p>
    <w:p>
      <w:r>
        <w:t xml:space="preserve"/>
      </w:r>
    </w:p>
    <w:p>
      <w:r>
        <w:t xml:space="preserve">The drying operation (required because of saturated insulation confirmed by core samples) is self-contained within the pricing sheet using hire rates from Edwards Plant &amp; Tool Hire:</w:t>
      </w:r>
    </w:p>
    <w:p>
      <w:r>
        <w:t xml:space="preserve"/>
      </w:r>
    </w:p>
    <w:p>
      <w:pPr>
        <w:pStyle w:val="ListParagraph"/>
        <w:numPr>
          <w:ilvl w:val="0"/>
          <w:numId w:val="2"/>
        </w:numPr>
      </w:pPr>
      <w:r>
        <w:t xml:space="preserve">Plant hire (wet vac £53/wk, extension leads £15/wk, transformer £13/wk): £81/week × 11 weeks = £803.</w:t>
      </w:r>
    </w:p>
    <w:p>
      <w:pPr>
        <w:pStyle w:val="ListParagraph"/>
        <w:numPr>
          <w:ilvl w:val="0"/>
          <w:numId w:val="2"/>
        </w:numPr>
      </w:pPr>
      <w:r>
        <w:t xml:space="preserve">Gas for drying: £1.00/m² × 560 m² = £560.</w:t>
      </w:r>
    </w:p>
    <w:p>
      <w:pPr>
        <w:pStyle w:val="ListParagraph"/>
        <w:numPr>
          <w:ilvl w:val="0"/>
          <w:numId w:val="2"/>
        </w:numPr>
      </w:pPr>
      <w:r>
        <w:t xml:space="preserve">Total: £1,363 (£2.45/m² × 560 m² = £1,372, as entered in the pricing sheet).</w:t>
      </w:r>
    </w:p>
    <w:p>
      <w:r>
        <w:t xml:space="preserve"/>
      </w:r>
    </w:p>
    <w:p>
      <w:r>
        <w:t xml:space="preserve">This cost is entirely absent from the Proteus specification (which assumes a dry substrate) and is driven entirely by the condition report’s saturation findings. Its derivation from plant hire rates rather than manufacturer guidance reflects the contractor’s practical field experience.</w:t>
      </w:r>
    </w:p>
    <w:p>
      <w:r>
        <w:t xml:space="preserve"/>
      </w:r>
    </w:p>
    <w:p>
      <w:pPr>
        <w:pStyle w:val="Heading1"/>
      </w:pPr>
      <w:r>
        <w:t xml:space="preserve">8.  Document Importance Summary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360"/>
        <w:gridCol w:w="2400"/>
      </w:tblGrid>
      <w:tr>
        <w:tc>
          <w:tcPr>
            <w:tcW w:type="dxa" w:w="26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b/>
                <w:bCs/>
                <w:color w:val="FFFFFF"/>
                <w:sz w:val="20"/>
                <w:szCs w:val="20"/>
              </w:rPr>
              <w:t xml:space="preserve">Document</w:t>
            </w:r>
          </w:p>
        </w:tc>
        <w:tc>
          <w:tcPr>
            <w:tcW w:type="dxa" w:w="436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b/>
                <w:bCs/>
                <w:color w:val="FFFFFF"/>
                <w:sz w:val="20"/>
                <w:szCs w:val="20"/>
              </w:rPr>
              <w:t xml:space="preserve">Contribution to material estimation</w:t>
            </w:r>
          </w:p>
        </w:tc>
        <w:tc>
          <w:tcPr>
            <w:tcW w:type="dxa" w:w="24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b/>
                <w:bCs/>
                <w:color w:val="FFFFFF"/>
                <w:sz w:val="20"/>
                <w:szCs w:val="20"/>
              </w:rPr>
              <w:t xml:space="preserve">Importance</w:t>
            </w:r>
          </w:p>
        </w:tc>
      </w:tr>
      <w:tr>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bCs/>
                <w:color w:val="000000"/>
                <w:sz w:val="20"/>
                <w:szCs w:val="20"/>
              </w:rPr>
              <w:t xml:space="preserve">Proteus CTF insulation quotation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Confirmed roof areas and lump-sum insulation price; thermal design parameters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Critical</w:t>
            </w:r>
          </w:p>
        </w:tc>
      </w:tr>
      <w:tr>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bCs/>
                <w:color w:val="000000"/>
                <w:sz w:val="20"/>
                <w:szCs w:val="20"/>
              </w:rPr>
              <w:t xml:space="preserve">Self-generated Profix materials quotation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All membrane unit prices and roll coverage rates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Critical</w:t>
            </w:r>
          </w:p>
        </w:tc>
      </w:tr>
      <w:tr>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bCs/>
                <w:color w:val="000000"/>
                <w:sz w:val="20"/>
                <w:szCs w:val="20"/>
              </w:rPr>
              <w:t xml:space="preserve">Proteus condition report (Dec 2025)</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Confirms strip-out requirement, thermal target, upstand/capping defects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Critical</w:t>
            </w:r>
          </w:p>
        </w:tc>
      </w:tr>
      <w:tr>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bCs/>
                <w:color w:val="000000"/>
                <w:sz w:val="20"/>
                <w:szCs w:val="20"/>
              </w:rPr>
              <w:t xml:space="preserve">Felt &amp; Asphalt Supply Rates 2024 spreadsheet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All per-activity labour rates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Critical</w:t>
            </w:r>
          </w:p>
        </w:tc>
      </w:tr>
      <w:tr>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bCs/>
                <w:color w:val="000000"/>
                <w:sz w:val="20"/>
                <w:szCs w:val="20"/>
              </w:rPr>
              <w:t xml:space="preserve">Handwritten pricing sheet (Labour_Rates.jpg)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Labour verification total and interim checks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Important</w:t>
            </w:r>
          </w:p>
        </w:tc>
      </w:tr>
      <w:tr>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bCs/>
                <w:color w:val="000000"/>
                <w:sz w:val="20"/>
                <w:szCs w:val="20"/>
              </w:rPr>
              <w:t xml:space="preserve">Additional Items &amp; Costs schedule (Block A CSV)</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Confirms discrete item counts and extra-over costs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Important</w:t>
            </w:r>
          </w:p>
        </w:tc>
      </w:tr>
      <w:tr>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bCs/>
                <w:color w:val="000000"/>
                <w:sz w:val="20"/>
                <w:szCs w:val="20"/>
              </w:rPr>
              <w:t xml:space="preserve">Aerial site plan (Appendix 1 photographs)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Visual reference for roof footprint area take-off</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Important</w:t>
            </w:r>
          </w:p>
        </w:tc>
      </w:tr>
      <w:tr>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bCs/>
                <w:color w:val="000000"/>
                <w:sz w:val="20"/>
                <w:szCs w:val="20"/>
              </w:rPr>
              <w:t xml:space="preserve">Proteus product specification (25pp)</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System validation and compliance framework; no quantities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Reference only</w:t>
            </w:r>
          </w:p>
        </w:tc>
      </w:tr>
      <w:tr>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bCs/>
                <w:color w:val="000000"/>
                <w:sz w:val="20"/>
                <w:szCs w:val="20"/>
              </w:rPr>
              <w:t xml:space="preserve">Photographic schedule (16 photographs)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Qualitative condition check and discrete item counts; no dimensions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Supporting</w:t>
            </w:r>
          </w:p>
        </w:tc>
      </w:tr>
      <w:tr>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bCs/>
                <w:color w:val="000000"/>
                <w:sz w:val="20"/>
                <w:szCs w:val="20"/>
              </w:rPr>
              <w:t xml:space="preserve">Schedule of Works covering letter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Commercial context and phasing only; no pricing data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Supporting</w:t>
            </w:r>
          </w:p>
        </w:tc>
      </w:tr>
      <w:tr>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bCs/>
                <w:color w:val="000000"/>
                <w:sz w:val="20"/>
                <w:szCs w:val="20"/>
              </w:rPr>
              <w:t xml:space="preserve">OS ancillary product and trim price lists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Standard list comparison; self-generated prices used in calculations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Not used directly</w:t>
            </w:r>
          </w:p>
        </w:tc>
      </w:tr>
    </w:tbl>
    <w:p>
      <w:r>
        <w:t xml:space="preserve"/>
      </w:r>
    </w:p>
    <w:p>
      <w:r>
        <w:t xml:space="preserve"/>
      </w:r>
    </w:p>
    <w:p>
      <w:pPr>
        <w:spacing w:before="400"/>
        <w:jc w:val="center"/>
      </w:pPr>
      <w:r>
        <w:rPr>
          <w:rFonts w:ascii="Arial" w:cs="Arial" w:eastAsia="Arial" w:hAnsi="Arial"/>
          <w:i/>
          <w:iCs/>
          <w:color w:val="888888"/>
          <w:sz w:val="20"/>
          <w:szCs w:val="20"/>
        </w:rPr>
        <w:t xml:space="preserve">End of report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5090" w:sz="6" w:space="1"/>
      </w:pBdr>
      <w:spacing w:before="360" w:after="180"/>
      <w:outlineLvl w:val="0"/>
    </w:pPr>
    <w:rPr>
      <w:rFonts w:ascii="Arial" w:cs="Arial" w:eastAsia="Arial" w:hAnsi="Arial"/>
      <w:b/>
      <w:bCs/>
      <w:color w:val="1F3864"/>
      <w:sz w:val="30"/>
      <w:szCs w:val="30"/>
    </w:rPr>
  </w:style>
  <w:style w:type="paragraph" w:styleId="Heading2">
    <w:name w:val="Heading 2"/>
    <w:basedOn w:val="Normal"/>
    <w:next w:val="Normal"/>
    <w:qFormat/>
    <w:pPr>
      <w:spacing w:before="280" w:after="120"/>
      <w:outlineLvl w:val="1"/>
    </w:pPr>
    <w:rPr>
      <w:rFonts w:ascii="Arial" w:cs="Arial" w:eastAsia="Arial" w:hAnsi="Arial"/>
      <w:b/>
      <w:bCs/>
      <w:color w:val="2E5090"/>
      <w:sz w:val="26"/>
      <w:szCs w:val="26"/>
    </w:rPr>
  </w:style>
  <w:style w:type="paragraph" w:styleId="Heading3">
    <w:name w:val="Heading 3"/>
    <w:basedOn w:val="Normal"/>
    <w:next w:val="Normal"/>
    <w:qFormat/>
    <w:pPr>
      <w:spacing w:before="200" w:after="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2026-03-14T13:12:46.276Z</dcterms:created>
  <dcterms:modified xsi:type="dcterms:W3CDTF">2026-03-14T13:12:46.276Z</dcterms:modified>
</cp:coreProperties>
</file>

<file path=docProps/custom.xml><?xml version="1.0" encoding="utf-8"?>
<Properties xmlns="http://schemas.openxmlformats.org/officeDocument/2006/custom-properties" xmlns:vt="http://schemas.openxmlformats.org/officeDocument/2006/docPropsVTypes"/>
</file>