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B7995F" Type="http://schemas.openxmlformats.org/officeDocument/2006/relationships/officeDocument" Target="/word/document.xml" /><Relationship Id="coreR74B7995F" Type="http://schemas.openxmlformats.org/package/2006/relationships/metadata/core-properties" Target="/docProps/core.xml" /><Relationship Id="customR74B799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黑体" w:hAnsi="黑体"/>
          <w:sz w:val="32"/>
        </w:rPr>
      </w:pPr>
      <w:r>
        <w:rPr>
          <w:rStyle w:val="C3"/>
          <w:rFonts w:ascii="黑体" w:hAnsi="黑体"/>
          <w:sz w:val="32"/>
        </w:rPr>
        <w:t xml:space="preserve">          </w:t>
      </w:r>
    </w:p>
    <w:p>
      <w:pPr>
        <w:pStyle w:val="P1"/>
        <w:spacing w:lineRule="exact" w:line="400"/>
        <w:jc w:val="right"/>
        <w:rPr>
          <w:rStyle w:val="C3"/>
          <w:rFonts w:ascii="黑体" w:hAnsi="黑体"/>
          <w:sz w:val="28"/>
        </w:rPr>
      </w:pPr>
    </w:p>
    <w:p>
      <w:pPr>
        <w:pStyle w:val="P1"/>
        <w:keepNext w:val="0"/>
        <w:keepLines w:val="0"/>
        <w:widowControl w:val="0"/>
        <w:spacing w:lineRule="exact" w:line="640"/>
        <w:ind w:firstLine="0" w:left="0" w:right="0"/>
        <w:jc w:val="both"/>
        <w:rPr>
          <w:rStyle w:val="C3"/>
          <w:rFonts w:ascii="宋体" w:hAnsi="宋体"/>
          <w:b w:val="0"/>
          <w:sz w:val="44"/>
        </w:rPr>
      </w:pPr>
    </w:p>
    <w:p>
      <w:pPr>
        <w:pStyle w:val="P1"/>
        <w:keepNext w:val="0"/>
        <w:keepLines w:val="0"/>
        <w:widowControl w:val="0"/>
        <w:spacing w:lineRule="exact" w:line="640"/>
        <w:ind w:firstLine="0" w:left="0" w:right="0"/>
        <w:jc w:val="center"/>
        <w:rPr>
          <w:rStyle w:val="C3"/>
          <w:rFonts w:ascii="宋体" w:hAnsi="宋体"/>
          <w:b w:val="0"/>
          <w:sz w:val="32"/>
        </w:rPr>
      </w:pPr>
      <w:r>
        <w:rPr>
          <w:rStyle w:val="C3"/>
          <w:rFonts w:ascii="宋体" w:hAnsi="宋体"/>
          <w:b w:val="0"/>
          <w:sz w:val="44"/>
        </w:rPr>
        <w:t>山西省禁牧轮牧休牧条例</w:t>
      </w:r>
    </w:p>
    <w:p>
      <w:pPr>
        <w:pStyle w:val="P1"/>
        <w:ind w:firstLine="320" w:left="0" w:right="0"/>
        <w:jc w:val="center"/>
        <w:rPr>
          <w:rStyle w:val="C3"/>
          <w:rFonts w:ascii="楷体_GB2312" w:hAnsi="楷体_GB2312"/>
          <w:sz w:val="32"/>
        </w:rPr>
      </w:pPr>
    </w:p>
    <w:p>
      <w:pPr>
        <w:pStyle w:val="P1"/>
        <w:keepNext w:val="0"/>
        <w:keepLines w:val="0"/>
        <w:widowControl w:val="0"/>
        <w:ind w:firstLine="32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日山西省第十三届人民代表大会常务委员会第三十八次会议通过）</w:t>
      </w:r>
    </w:p>
    <w:p>
      <w:pPr>
        <w:pStyle w:val="P1"/>
        <w:keepNext w:val="0"/>
        <w:keepLines w:val="0"/>
        <w:widowControl w:val="0"/>
        <w:spacing w:lineRule="exact" w:line="640"/>
        <w:ind w:right="0"/>
        <w:jc w:val="both"/>
        <w:rPr>
          <w:rStyle w:val="C3"/>
          <w:rFonts w:ascii="宋体" w:hAnsi="宋体"/>
          <w:b w:val="1"/>
          <w:sz w:val="32"/>
        </w:rPr>
      </w:pP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sz w:val="32"/>
        </w:rPr>
        <w:t>第一条</w:t>
      </w:r>
      <w:r>
        <w:rPr>
          <w:rStyle w:val="C3"/>
          <w:rFonts w:ascii="仿宋" w:hAnsi="仿宋"/>
          <w:sz w:val="32"/>
        </w:rPr>
        <w:t xml:space="preserve">  为了保护、培育和修复林草植被，维护生态安全，促进经济社会可持续发展，根据《中华人民共和国草原法》《中华人民共和国森林法》等有关法律、行政法规，结合本省实际，制定本条例。</w:t>
      </w: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i w:val="0"/>
          <w:sz w:val="32"/>
        </w:rPr>
        <w:t>第二条</w:t>
      </w:r>
      <w:r>
        <w:rPr>
          <w:rStyle w:val="C3"/>
          <w:rFonts w:ascii="仿宋" w:hAnsi="仿宋"/>
          <w:b w:val="1"/>
          <w:sz w:val="32"/>
        </w:rPr>
        <w:t xml:space="preserve">  </w:t>
      </w:r>
      <w:r>
        <w:rPr>
          <w:rStyle w:val="C3"/>
          <w:rFonts w:ascii="仿宋" w:hAnsi="仿宋"/>
          <w:sz w:val="32"/>
        </w:rPr>
        <w:t>本省行政区域内的禁牧、轮牧、休牧及其管理活动适用本条例。</w:t>
      </w:r>
    </w:p>
    <w:p>
      <w:pPr>
        <w:pStyle w:val="P1"/>
        <w:keepNext w:val="0"/>
        <w:keepLines w:val="0"/>
        <w:widowControl w:val="0"/>
        <w:spacing w:lineRule="exact" w:line="640"/>
        <w:ind w:firstLine="640" w:left="0" w:right="0"/>
        <w:jc w:val="both"/>
        <w:rPr>
          <w:rStyle w:val="C3"/>
          <w:rFonts w:ascii="仿宋" w:hAnsi="仿宋"/>
          <w:sz w:val="32"/>
        </w:rPr>
      </w:pPr>
      <w:r>
        <w:rPr>
          <w:rStyle w:val="C3"/>
          <w:rFonts w:ascii="仿宋" w:hAnsi="仿宋"/>
          <w:sz w:val="32"/>
        </w:rPr>
        <w:t>本条例所称禁牧是指在划定的区域内，禁止放牧期限一年以上的管护措施；轮牧是指在划定的区域内，划分成若干小区，按照一定的顺序定期轮流放牧的管护措施；休牧是指在划定的区域内，实行季节性禁止放牧的管护措施。</w:t>
      </w: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sz w:val="32"/>
        </w:rPr>
        <w:t>第三条</w:t>
      </w:r>
      <w:r>
        <w:rPr>
          <w:rStyle w:val="C3"/>
          <w:rFonts w:ascii="仿宋" w:hAnsi="仿宋"/>
          <w:b w:val="1"/>
          <w:sz w:val="32"/>
        </w:rPr>
        <w:t xml:space="preserve">  </w:t>
      </w:r>
      <w:r>
        <w:rPr>
          <w:rStyle w:val="C3"/>
          <w:rFonts w:ascii="仿宋" w:hAnsi="仿宋"/>
          <w:sz w:val="32"/>
        </w:rPr>
        <w:t>禁牧、轮牧、休牧应当坚持政府主导、统筹规划、保护优先、科学利用、系统治理、全民参与的原则。</w:t>
      </w: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sz w:val="32"/>
        </w:rPr>
        <w:t>第四条</w:t>
      </w:r>
      <w:r>
        <w:rPr>
          <w:rStyle w:val="C3"/>
          <w:rFonts w:ascii="仿宋" w:hAnsi="仿宋"/>
          <w:b w:val="1"/>
          <w:sz w:val="32"/>
        </w:rPr>
        <w:t xml:space="preserve"> </w:t>
      </w:r>
      <w:r>
        <w:rPr>
          <w:rStyle w:val="C3"/>
          <w:rFonts w:ascii="仿宋" w:hAnsi="仿宋"/>
          <w:sz w:val="32"/>
        </w:rPr>
        <w:t xml:space="preserve"> 县级以上人民政府应当加强对禁牧、轮牧、休牧工作的领导，将其纳入国民经济和社会发展规划，所需经费按照事权划分原则列入预算。</w:t>
      </w: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sz w:val="32"/>
        </w:rPr>
        <w:t>第五条</w:t>
      </w:r>
      <w:r>
        <w:rPr>
          <w:rStyle w:val="C3"/>
          <w:rFonts w:ascii="仿宋" w:hAnsi="仿宋"/>
          <w:b w:val="1"/>
          <w:sz w:val="32"/>
        </w:rPr>
        <w:t xml:space="preserve">  </w:t>
      </w:r>
      <w:r>
        <w:rPr>
          <w:rStyle w:val="C3"/>
          <w:rFonts w:ascii="仿宋" w:hAnsi="仿宋"/>
          <w:sz w:val="32"/>
        </w:rPr>
        <w:t>县级以上人民政府林业草原主管部门负责本行政区域内禁牧、轮牧、休牧的监督管理工作。</w:t>
      </w:r>
    </w:p>
    <w:p>
      <w:pPr>
        <w:pStyle w:val="P1"/>
        <w:keepNext w:val="0"/>
        <w:keepLines w:val="0"/>
        <w:widowControl w:val="0"/>
        <w:spacing w:lineRule="exact" w:line="640"/>
        <w:ind w:firstLine="640" w:left="0" w:right="0"/>
        <w:jc w:val="both"/>
        <w:rPr>
          <w:rStyle w:val="C3"/>
          <w:rFonts w:ascii="仿宋" w:hAnsi="仿宋"/>
          <w:sz w:val="32"/>
        </w:rPr>
      </w:pPr>
      <w:r>
        <w:rPr>
          <w:rStyle w:val="C3"/>
          <w:rFonts w:ascii="仿宋" w:hAnsi="仿宋"/>
          <w:sz w:val="32"/>
        </w:rPr>
        <w:t>县级以上人民政府农业农村主管部门负责指导本行政区域内舍饲圈养、牲畜品种引进改良以及饲草种植开发利用的技术指导和推广服务工作。</w:t>
      </w:r>
    </w:p>
    <w:p>
      <w:pPr>
        <w:pStyle w:val="P1"/>
        <w:keepNext w:val="0"/>
        <w:keepLines w:val="0"/>
        <w:widowControl w:val="0"/>
        <w:spacing w:lineRule="exact" w:line="640"/>
        <w:ind w:firstLine="640" w:left="0" w:right="0"/>
        <w:jc w:val="both"/>
        <w:rPr>
          <w:rStyle w:val="C3"/>
          <w:rFonts w:ascii="仿宋" w:hAnsi="仿宋"/>
          <w:sz w:val="32"/>
        </w:rPr>
      </w:pPr>
      <w:r>
        <w:rPr>
          <w:rStyle w:val="C3"/>
          <w:rFonts w:ascii="仿宋" w:hAnsi="仿宋"/>
          <w:sz w:val="32"/>
        </w:rPr>
        <w:t>县级以上人民政府发展改革、财政、自然资源、公安等部门按照各自职责，做好禁牧、轮牧、休牧相关工作。</w:t>
      </w: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sz w:val="32"/>
        </w:rPr>
        <w:t>第六条</w:t>
      </w:r>
      <w:r>
        <w:rPr>
          <w:rStyle w:val="C3"/>
          <w:rFonts w:ascii="仿宋" w:hAnsi="仿宋"/>
          <w:sz w:val="32"/>
        </w:rPr>
        <w:t xml:space="preserve">  乡（镇）人民政府、街道办事处具体组织实施相关的禁牧、轮牧、休牧工作。</w:t>
      </w:r>
    </w:p>
    <w:p>
      <w:pPr>
        <w:pStyle w:val="P1"/>
        <w:keepNext w:val="0"/>
        <w:keepLines w:val="0"/>
        <w:widowControl w:val="0"/>
        <w:spacing w:lineRule="exact" w:line="640"/>
        <w:ind w:firstLine="640" w:left="0" w:right="0"/>
        <w:jc w:val="both"/>
        <w:rPr>
          <w:rStyle w:val="C3"/>
          <w:rFonts w:ascii="仿宋" w:hAnsi="仿宋"/>
          <w:sz w:val="32"/>
        </w:rPr>
      </w:pPr>
      <w:r>
        <w:rPr>
          <w:rStyle w:val="C3"/>
          <w:rFonts w:ascii="仿宋" w:hAnsi="仿宋"/>
          <w:sz w:val="32"/>
        </w:rPr>
        <w:t>村民委员会协助乡（镇）人民政府、街道办事处做好禁牧、轮牧、休牧相关工作，引导村民强化自我约束和管理，合理利用林草资源。</w:t>
      </w: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sz w:val="32"/>
        </w:rPr>
        <w:t>第七条</w:t>
      </w:r>
      <w:r>
        <w:rPr>
          <w:rStyle w:val="C3"/>
          <w:rFonts w:ascii="仿宋" w:hAnsi="仿宋"/>
          <w:b w:val="1"/>
          <w:sz w:val="32"/>
        </w:rPr>
        <w:t xml:space="preserve">  </w:t>
      </w:r>
      <w:r>
        <w:rPr>
          <w:rStyle w:val="C3"/>
          <w:rFonts w:ascii="仿宋" w:hAnsi="仿宋"/>
          <w:sz w:val="32"/>
        </w:rPr>
        <w:t>县级以上人民政府林业草原主管部门和农业农村、发展改革、财政、自然资源、公安等部门，应当建立禁牧、轮牧、休牧工作协调机制。</w:t>
      </w:r>
    </w:p>
    <w:p>
      <w:pPr>
        <w:pStyle w:val="P1"/>
        <w:keepNext w:val="0"/>
        <w:keepLines w:val="0"/>
        <w:widowControl w:val="0"/>
        <w:spacing w:lineRule="exact" w:line="640"/>
        <w:ind w:firstLine="640" w:left="0" w:right="0"/>
        <w:jc w:val="both"/>
        <w:rPr>
          <w:rStyle w:val="C3"/>
          <w:rFonts w:ascii="仿宋" w:hAnsi="仿宋"/>
          <w:sz w:val="32"/>
        </w:rPr>
      </w:pPr>
      <w:r>
        <w:rPr>
          <w:rStyle w:val="C3"/>
          <w:rFonts w:ascii="仿宋" w:hAnsi="仿宋"/>
          <w:sz w:val="32"/>
        </w:rPr>
        <w:t>相邻的设区的市、县（市、区）人民政府应当建立禁牧、轮牧、休牧工作协作机制。</w:t>
      </w:r>
    </w:p>
    <w:p>
      <w:pPr>
        <w:pStyle w:val="P1"/>
        <w:keepNext w:val="0"/>
        <w:keepLines w:val="0"/>
        <w:widowControl w:val="0"/>
        <w:spacing w:lineRule="exact" w:line="640"/>
        <w:ind w:firstLine="640" w:left="0" w:right="0"/>
        <w:jc w:val="both"/>
        <w:rPr>
          <w:rStyle w:val="C3"/>
          <w:rFonts w:ascii="仿宋" w:hAnsi="仿宋"/>
          <w:sz w:val="32"/>
          <w:u w:val="none"/>
        </w:rPr>
      </w:pPr>
      <w:r>
        <w:rPr>
          <w:rStyle w:val="C3"/>
          <w:rFonts w:ascii="黑体" w:hAnsi="黑体"/>
          <w:b w:val="0"/>
          <w:sz w:val="32"/>
        </w:rPr>
        <w:t>第八条</w:t>
      </w:r>
      <w:r>
        <w:rPr>
          <w:rStyle w:val="C3"/>
          <w:rFonts w:ascii="仿宋" w:hAnsi="仿宋"/>
          <w:b w:val="1"/>
          <w:sz w:val="32"/>
        </w:rPr>
        <w:t xml:space="preserve"> </w:t>
      </w:r>
      <w:r>
        <w:rPr>
          <w:rStyle w:val="C3"/>
          <w:rFonts w:ascii="仿宋" w:hAnsi="仿宋"/>
          <w:sz w:val="32"/>
        </w:rPr>
        <w:t xml:space="preserve"> 县级</w:t>
      </w:r>
      <w:r>
        <w:rPr>
          <w:rStyle w:val="C3"/>
          <w:rFonts w:ascii="仿宋" w:hAnsi="仿宋"/>
          <w:sz w:val="32"/>
          <w:u w:val="none"/>
        </w:rPr>
        <w:t>人民政府林业草原主管部门根据国土空间规划以及林业和草原发展规划等，结合本地实际制定禁牧、轮牧、休牧专项规划，</w:t>
      </w:r>
      <w:r>
        <w:rPr>
          <w:rStyle w:val="C3"/>
          <w:rFonts w:ascii="仿宋" w:hAnsi="仿宋"/>
          <w:sz w:val="32"/>
        </w:rPr>
        <w:t>划定禁牧区、轮牧区、休牧区，</w:t>
      </w:r>
      <w:r>
        <w:rPr>
          <w:rStyle w:val="C3"/>
          <w:rFonts w:ascii="仿宋" w:hAnsi="仿宋"/>
          <w:sz w:val="32"/>
          <w:u w:val="none"/>
        </w:rPr>
        <w:t>报本级人民政府批准后实施，并报设区的市人民政府林业草原主管部门备案。</w:t>
      </w:r>
    </w:p>
    <w:p>
      <w:pPr>
        <w:pStyle w:val="P1"/>
        <w:keepNext w:val="0"/>
        <w:keepLines w:val="0"/>
        <w:widowControl w:val="0"/>
        <w:spacing w:lineRule="exact" w:line="640"/>
        <w:ind w:firstLine="640" w:left="0" w:right="0"/>
        <w:jc w:val="both"/>
        <w:rPr>
          <w:rStyle w:val="C3"/>
          <w:rFonts w:ascii="仿宋" w:hAnsi="仿宋"/>
          <w:sz w:val="32"/>
        </w:rPr>
      </w:pPr>
      <w:r>
        <w:rPr>
          <w:rStyle w:val="C3"/>
          <w:rFonts w:ascii="仿宋" w:hAnsi="仿宋"/>
          <w:b w:val="0"/>
          <w:sz w:val="32"/>
        </w:rPr>
        <w:t>县级人民政府应当及时向社会公布禁牧区、轮牧区和休牧区，</w:t>
      </w:r>
      <w:r>
        <w:rPr>
          <w:rStyle w:val="C3"/>
          <w:rFonts w:ascii="仿宋" w:hAnsi="仿宋"/>
          <w:sz w:val="32"/>
        </w:rPr>
        <w:t>实行动态监管。</w:t>
      </w:r>
    </w:p>
    <w:p>
      <w:pPr>
        <w:pStyle w:val="P1"/>
        <w:keepNext w:val="0"/>
        <w:keepLines w:val="0"/>
        <w:widowControl w:val="0"/>
        <w:spacing w:lineRule="exact" w:line="640"/>
        <w:ind w:firstLine="640" w:left="0" w:right="0"/>
        <w:jc w:val="both"/>
        <w:rPr>
          <w:rStyle w:val="C3"/>
        </w:rPr>
      </w:pPr>
      <w:r>
        <w:rPr>
          <w:rStyle w:val="C3"/>
          <w:rFonts w:ascii="黑体" w:hAnsi="黑体"/>
          <w:b w:val="0"/>
          <w:sz w:val="32"/>
        </w:rPr>
        <w:t>第九条</w:t>
      </w:r>
      <w:r>
        <w:rPr>
          <w:rStyle w:val="C3"/>
          <w:rFonts w:ascii="仿宋" w:hAnsi="仿宋"/>
          <w:b w:val="1"/>
          <w:sz w:val="32"/>
        </w:rPr>
        <w:t xml:space="preserve">  </w:t>
      </w:r>
      <w:r>
        <w:rPr>
          <w:rStyle w:val="C3"/>
          <w:rFonts w:ascii="仿宋" w:hAnsi="仿宋"/>
          <w:sz w:val="32"/>
        </w:rPr>
        <w:t>县级人民政府林业草原主管部门应当依据国家草原载畜量标准，定期核定并公布本行政区域内草地载畜量。</w:t>
      </w:r>
    </w:p>
    <w:p>
      <w:pPr>
        <w:pStyle w:val="P7"/>
        <w:ind w:firstLine="640"/>
        <w:rPr>
          <w:rStyle w:val="C3"/>
          <w:rFonts w:ascii="仿宋" w:hAnsi="仿宋"/>
          <w:sz w:val="32"/>
        </w:rPr>
      </w:pPr>
      <w:r>
        <w:rPr>
          <w:rStyle w:val="C3"/>
          <w:rFonts w:ascii="仿宋" w:hAnsi="仿宋"/>
          <w:sz w:val="32"/>
        </w:rPr>
        <w:t>省和设区的市人民政府林业草原主管部门指导开展载畜量核定工作，并监督实施。</w:t>
      </w: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sz w:val="32"/>
        </w:rPr>
        <w:t>第十条</w:t>
      </w:r>
      <w:r>
        <w:rPr>
          <w:rStyle w:val="C3"/>
          <w:rFonts w:ascii="仿宋" w:hAnsi="仿宋"/>
          <w:b w:val="1"/>
          <w:sz w:val="32"/>
        </w:rPr>
        <w:t xml:space="preserve"> </w:t>
      </w:r>
      <w:r>
        <w:rPr>
          <w:rStyle w:val="C3"/>
          <w:rFonts w:ascii="仿宋" w:hAnsi="仿宋"/>
          <w:sz w:val="32"/>
        </w:rPr>
        <w:t xml:space="preserve"> 下列区域应当划定为禁牧区：</w:t>
      </w:r>
    </w:p>
    <w:p>
      <w:pPr>
        <w:pStyle w:val="P1"/>
        <w:keepNext w:val="0"/>
        <w:keepLines w:val="0"/>
        <w:widowControl w:val="0"/>
        <w:spacing w:lineRule="exact" w:line="640"/>
        <w:ind w:firstLine="640" w:left="0" w:right="0"/>
        <w:jc w:val="both"/>
        <w:rPr>
          <w:rStyle w:val="C3"/>
          <w:rFonts w:ascii="仿宋" w:hAnsi="仿宋"/>
          <w:sz w:val="32"/>
        </w:rPr>
      </w:pPr>
      <w:r>
        <w:rPr>
          <w:rStyle w:val="C3"/>
          <w:rFonts w:ascii="仿宋" w:hAnsi="仿宋"/>
          <w:sz w:val="32"/>
        </w:rPr>
        <w:t>（一）封育期的林地；</w:t>
      </w:r>
    </w:p>
    <w:p>
      <w:pPr>
        <w:pStyle w:val="P1"/>
        <w:keepNext w:val="0"/>
        <w:keepLines w:val="0"/>
        <w:widowControl w:val="0"/>
        <w:spacing w:lineRule="exact" w:line="640"/>
        <w:ind w:firstLine="640" w:left="0" w:right="0"/>
        <w:jc w:val="both"/>
        <w:rPr>
          <w:rStyle w:val="C3"/>
          <w:rFonts w:ascii="仿宋" w:hAnsi="仿宋"/>
          <w:sz w:val="32"/>
        </w:rPr>
      </w:pPr>
      <w:r>
        <w:rPr>
          <w:rStyle w:val="C3"/>
          <w:rFonts w:ascii="仿宋" w:hAnsi="仿宋"/>
          <w:sz w:val="32"/>
        </w:rPr>
        <w:t>（二）人工造林二十年以内的林地；</w:t>
      </w:r>
    </w:p>
    <w:p>
      <w:pPr>
        <w:pStyle w:val="P1"/>
        <w:keepNext w:val="0"/>
        <w:keepLines w:val="0"/>
        <w:widowControl w:val="0"/>
        <w:spacing w:lineRule="exact" w:line="640"/>
        <w:ind w:firstLine="640" w:left="0" w:right="0"/>
        <w:jc w:val="both"/>
        <w:rPr>
          <w:rStyle w:val="C3"/>
          <w:rFonts w:ascii="仿宋" w:hAnsi="仿宋"/>
          <w:sz w:val="32"/>
        </w:rPr>
      </w:pPr>
      <w:r>
        <w:rPr>
          <w:rStyle w:val="C3"/>
          <w:rFonts w:ascii="仿宋" w:hAnsi="仿宋"/>
          <w:sz w:val="32"/>
        </w:rPr>
        <w:t>（三）严重退化、沙化、盐碱化的草地；</w:t>
      </w:r>
    </w:p>
    <w:p>
      <w:pPr>
        <w:pStyle w:val="P1"/>
        <w:keepNext w:val="0"/>
        <w:keepLines w:val="0"/>
        <w:widowControl w:val="0"/>
        <w:spacing w:lineRule="exact" w:line="640"/>
        <w:ind w:firstLine="640" w:left="0" w:right="0"/>
        <w:jc w:val="both"/>
        <w:rPr>
          <w:rStyle w:val="C3"/>
          <w:rFonts w:ascii="仿宋" w:hAnsi="仿宋"/>
          <w:sz w:val="32"/>
        </w:rPr>
      </w:pPr>
      <w:r>
        <w:rPr>
          <w:rStyle w:val="C3"/>
          <w:rFonts w:ascii="仿宋" w:hAnsi="仿宋"/>
          <w:sz w:val="32"/>
        </w:rPr>
        <w:t>（四）修复改良期内的草地；</w:t>
      </w:r>
    </w:p>
    <w:p>
      <w:pPr>
        <w:pStyle w:val="P1"/>
        <w:keepNext w:val="0"/>
        <w:keepLines w:val="0"/>
        <w:widowControl w:val="0"/>
        <w:spacing w:lineRule="exact" w:line="640"/>
        <w:ind w:firstLine="640" w:left="0" w:right="0"/>
        <w:jc w:val="both"/>
        <w:rPr>
          <w:rStyle w:val="C3"/>
          <w:rFonts w:ascii="仿宋" w:hAnsi="仿宋"/>
          <w:sz w:val="32"/>
        </w:rPr>
      </w:pPr>
      <w:r>
        <w:rPr>
          <w:rStyle w:val="C3"/>
          <w:rFonts w:ascii="仿宋" w:hAnsi="仿宋"/>
          <w:sz w:val="32"/>
        </w:rPr>
        <w:t>（五）划定为种质资源区的草地；</w:t>
      </w:r>
    </w:p>
    <w:p>
      <w:pPr>
        <w:pStyle w:val="P1"/>
        <w:keepNext w:val="0"/>
        <w:keepLines w:val="0"/>
        <w:widowControl w:val="0"/>
        <w:spacing w:lineRule="exact" w:line="640"/>
        <w:ind w:firstLine="640" w:left="0" w:right="0"/>
        <w:jc w:val="both"/>
        <w:rPr>
          <w:rStyle w:val="C3"/>
          <w:rFonts w:ascii="仿宋" w:hAnsi="仿宋"/>
          <w:sz w:val="32"/>
        </w:rPr>
      </w:pPr>
      <w:r>
        <w:rPr>
          <w:rStyle w:val="C3"/>
          <w:rFonts w:ascii="仿宋" w:hAnsi="仿宋"/>
          <w:sz w:val="32"/>
        </w:rPr>
        <w:t>（六）法律、法规规定禁牧的其他区域。</w:t>
      </w: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sz w:val="32"/>
        </w:rPr>
        <w:t>第十一条</w:t>
      </w:r>
      <w:r>
        <w:rPr>
          <w:rStyle w:val="C3"/>
          <w:rFonts w:ascii="仿宋" w:hAnsi="仿宋"/>
          <w:b w:val="1"/>
          <w:sz w:val="32"/>
        </w:rPr>
        <w:t xml:space="preserve">  </w:t>
      </w:r>
      <w:r>
        <w:rPr>
          <w:rStyle w:val="C3"/>
          <w:rFonts w:ascii="仿宋" w:hAnsi="仿宋"/>
          <w:sz w:val="32"/>
        </w:rPr>
        <w:t>林地、草地使用权人以及牲畜所有人、饲养人应当遵守禁牧、轮牧、休牧有关法律、法规，不得超载放牧或者在禁止放牧的区域放牧。</w:t>
      </w: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sz w:val="32"/>
        </w:rPr>
        <w:t>第十二条</w:t>
      </w:r>
      <w:r>
        <w:rPr>
          <w:rStyle w:val="C3"/>
          <w:rFonts w:ascii="仿宋" w:hAnsi="仿宋"/>
          <w:sz w:val="32"/>
        </w:rPr>
        <w:t xml:space="preserve"> 县级人民政府林业草原主管部门应当在禁牧区、轮牧区、休牧区的主要路口和牲畜活动频繁的区域，设置界桩、围栏、标识等设施，载明区域名称、范围和期限。</w:t>
      </w:r>
    </w:p>
    <w:p>
      <w:pPr>
        <w:pStyle w:val="P1"/>
        <w:keepNext w:val="0"/>
        <w:keepLines w:val="0"/>
        <w:widowControl w:val="0"/>
        <w:spacing w:lineRule="exact" w:line="640"/>
        <w:ind w:firstLine="640" w:left="0" w:right="0"/>
        <w:jc w:val="both"/>
        <w:rPr>
          <w:rStyle w:val="C3"/>
          <w:rFonts w:ascii="仿宋" w:hAnsi="仿宋"/>
          <w:sz w:val="32"/>
        </w:rPr>
      </w:pPr>
      <w:r>
        <w:rPr>
          <w:rStyle w:val="C3"/>
          <w:rFonts w:ascii="仿宋" w:hAnsi="仿宋"/>
          <w:sz w:val="32"/>
        </w:rPr>
        <w:t>不得损毁或者擅自移动界桩、围栏、标识等设施。</w:t>
      </w: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sz w:val="32"/>
        </w:rPr>
        <w:t>第十三条</w:t>
      </w:r>
      <w:r>
        <w:rPr>
          <w:rStyle w:val="C3"/>
          <w:rFonts w:ascii="仿宋" w:hAnsi="仿宋"/>
          <w:b w:val="1"/>
          <w:sz w:val="32"/>
        </w:rPr>
        <w:t xml:space="preserve">  </w:t>
      </w:r>
      <w:r>
        <w:rPr>
          <w:rStyle w:val="C3"/>
          <w:rFonts w:ascii="仿宋" w:hAnsi="仿宋"/>
          <w:sz w:val="32"/>
        </w:rPr>
        <w:t>县级人民政府林业草原主管部门应当建立巡查制度，并通报巡查结果。</w:t>
      </w: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sz w:val="32"/>
        </w:rPr>
        <w:t>第十四条</w:t>
      </w:r>
      <w:r>
        <w:rPr>
          <w:rStyle w:val="C3"/>
          <w:rFonts w:ascii="仿宋" w:hAnsi="仿宋"/>
          <w:b w:val="1"/>
          <w:sz w:val="32"/>
        </w:rPr>
        <w:t xml:space="preserve"> </w:t>
      </w:r>
      <w:r>
        <w:rPr>
          <w:rStyle w:val="C3"/>
          <w:rFonts w:ascii="仿宋" w:hAnsi="仿宋"/>
          <w:sz w:val="32"/>
        </w:rPr>
        <w:t xml:space="preserve"> 县级以上人民政府林业草原主管部门应当对禁牧、轮牧、休牧区域林地、草地生态植被恢复情况进行动态监测和评估，并定期向本级人民政府和上一级人民政府林业草原主管部门报告。</w:t>
      </w:r>
    </w:p>
    <w:p>
      <w:pPr>
        <w:pStyle w:val="P1"/>
        <w:keepNext w:val="0"/>
        <w:keepLines w:val="0"/>
        <w:widowControl w:val="0"/>
        <w:spacing w:lineRule="exact" w:line="640"/>
        <w:ind w:firstLine="640" w:left="0" w:right="0"/>
        <w:jc w:val="both"/>
        <w:rPr>
          <w:rStyle w:val="C3"/>
          <w:rFonts w:ascii="仿宋" w:hAnsi="仿宋"/>
          <w:sz w:val="32"/>
        </w:rPr>
      </w:pPr>
      <w:r>
        <w:rPr>
          <w:rStyle w:val="C3"/>
          <w:rFonts w:ascii="仿宋" w:hAnsi="仿宋"/>
          <w:sz w:val="32"/>
        </w:rPr>
        <w:t>各级人民政府应当充分运用信息技术手段，提高草畜平衡和禁牧、轮牧、休牧监督管理能力及水平。</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黑体" w:hAnsi="黑体"/>
          <w:b w:val="0"/>
          <w:sz w:val="32"/>
        </w:rPr>
        <w:t>第十五条</w:t>
      </w:r>
      <w:r>
        <w:rPr>
          <w:rStyle w:val="C3"/>
          <w:rFonts w:ascii="仿宋" w:hAnsi="仿宋"/>
          <w:b w:val="1"/>
          <w:sz w:val="32"/>
        </w:rPr>
        <w:t xml:space="preserve">  </w:t>
      </w:r>
      <w:r>
        <w:rPr>
          <w:rStyle w:val="C3"/>
          <w:rFonts w:ascii="仿宋" w:hAnsi="仿宋"/>
          <w:b w:val="0"/>
          <w:sz w:val="32"/>
        </w:rPr>
        <w:t>县级以上人民政府应当制定扶持政策，对在禁牧区、轮牧区、休牧区实施舍饲圈养的，可以给予粮食、资金补助和技术扶持。</w:t>
      </w:r>
    </w:p>
    <w:p>
      <w:pPr>
        <w:pStyle w:val="P1"/>
        <w:keepNext w:val="0"/>
        <w:keepLines w:val="0"/>
        <w:widowControl w:val="0"/>
        <w:spacing w:lineRule="exact" w:line="640"/>
        <w:ind w:firstLine="640" w:left="0" w:right="0"/>
        <w:jc w:val="both"/>
        <w:rPr>
          <w:rStyle w:val="C3"/>
          <w:rFonts w:ascii="仿宋" w:hAnsi="仿宋"/>
          <w:b w:val="0"/>
          <w:sz w:val="32"/>
        </w:rPr>
      </w:pPr>
      <w:r>
        <w:rPr>
          <w:rStyle w:val="C3"/>
          <w:rFonts w:ascii="仿宋" w:hAnsi="仿宋"/>
          <w:b w:val="0"/>
          <w:sz w:val="32"/>
        </w:rPr>
        <w:t>鼓励通过农民专业合作社、涉农企业等方式规范舍饲圈养、品种改良，发展农业养殖规模经营。</w:t>
      </w:r>
    </w:p>
    <w:p>
      <w:pPr>
        <w:pStyle w:val="P7"/>
        <w:ind w:firstLine="640"/>
        <w:rPr>
          <w:rStyle w:val="C3"/>
          <w:rFonts w:ascii="仿宋" w:hAnsi="仿宋"/>
          <w:b w:val="0"/>
          <w:sz w:val="32"/>
        </w:rPr>
      </w:pPr>
      <w:r>
        <w:rPr>
          <w:rStyle w:val="C3"/>
          <w:rFonts w:ascii="黑体" w:hAnsi="黑体"/>
          <w:b w:val="0"/>
          <w:sz w:val="32"/>
        </w:rPr>
        <w:t>第十六条</w:t>
      </w:r>
      <w:r>
        <w:rPr>
          <w:rStyle w:val="C3"/>
          <w:rFonts w:ascii="仿宋" w:hAnsi="仿宋"/>
          <w:b w:val="0"/>
          <w:sz w:val="32"/>
        </w:rPr>
        <w:t xml:space="preserve">  县级以上人民政府应当建立健全生态保护补偿制度，对禁牧、轮牧、休牧区域内相关组织和个人给予补偿。</w:t>
      </w:r>
    </w:p>
    <w:p>
      <w:pPr>
        <w:pStyle w:val="P7"/>
        <w:ind w:firstLine="640"/>
        <w:rPr>
          <w:rStyle w:val="C3"/>
          <w:rFonts w:ascii="仿宋" w:hAnsi="仿宋"/>
          <w:b w:val="0"/>
          <w:sz w:val="32"/>
        </w:rPr>
      </w:pPr>
      <w:r>
        <w:rPr>
          <w:rStyle w:val="C3"/>
          <w:rFonts w:ascii="黑体" w:hAnsi="黑体"/>
          <w:b w:val="0"/>
          <w:sz w:val="32"/>
        </w:rPr>
        <w:t>第十七条</w:t>
      </w:r>
      <w:r>
        <w:rPr>
          <w:rStyle w:val="C3"/>
          <w:rFonts w:ascii="仿宋" w:hAnsi="仿宋"/>
          <w:b w:val="0"/>
          <w:sz w:val="32"/>
        </w:rPr>
        <w:t xml:space="preserve">  县级以上人民政府应当引导、扶持适宜禁牧、轮牧、休牧区域内的乡村特色产业发展，结合乡村振兴战略等有关政策，统筹资金在产业发展等方面给予补助。</w:t>
      </w:r>
    </w:p>
    <w:p>
      <w:pPr>
        <w:pStyle w:val="P1"/>
        <w:keepNext w:val="0"/>
        <w:keepLines w:val="0"/>
        <w:widowControl w:val="0"/>
        <w:spacing w:lineRule="exact" w:line="640"/>
        <w:ind w:firstLine="640" w:right="0"/>
        <w:jc w:val="both"/>
        <w:rPr>
          <w:rStyle w:val="C3"/>
          <w:rFonts w:ascii="仿宋" w:hAnsi="仿宋"/>
          <w:sz w:val="32"/>
        </w:rPr>
      </w:pPr>
      <w:r>
        <w:rPr>
          <w:rStyle w:val="C3"/>
          <w:rFonts w:ascii="黑体" w:hAnsi="黑体"/>
          <w:b w:val="0"/>
          <w:sz w:val="32"/>
        </w:rPr>
        <w:t>第十八条</w:t>
      </w:r>
      <w:r>
        <w:rPr>
          <w:rStyle w:val="C3"/>
          <w:rFonts w:ascii="仿宋" w:hAnsi="仿宋"/>
          <w:b w:val="1"/>
          <w:sz w:val="32"/>
        </w:rPr>
        <w:t xml:space="preserve">  </w:t>
      </w:r>
      <w:r>
        <w:rPr>
          <w:rStyle w:val="C3"/>
          <w:rFonts w:ascii="仿宋" w:hAnsi="仿宋"/>
          <w:sz w:val="32"/>
        </w:rPr>
        <w:t>各级人民政府应当加强禁牧、轮牧、休牧工作的宣传教育。</w:t>
      </w:r>
    </w:p>
    <w:p>
      <w:pPr>
        <w:pStyle w:val="P1"/>
        <w:keepNext w:val="0"/>
        <w:keepLines w:val="0"/>
        <w:widowControl w:val="0"/>
        <w:spacing w:lineRule="exact" w:line="640"/>
        <w:ind w:firstLine="640" w:left="0" w:right="0"/>
        <w:jc w:val="both"/>
        <w:rPr>
          <w:rStyle w:val="C3"/>
          <w:rFonts w:ascii="仿宋" w:hAnsi="仿宋"/>
          <w:sz w:val="32"/>
        </w:rPr>
      </w:pPr>
      <w:r>
        <w:rPr>
          <w:rStyle w:val="C3"/>
          <w:rFonts w:ascii="仿宋" w:hAnsi="仿宋"/>
          <w:sz w:val="32"/>
        </w:rPr>
        <w:t>报刊、广播、电视、互联网等媒体应当开展禁牧、轮牧、休牧相关法律法规、科学知识等的公益宣传。</w:t>
      </w: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sz w:val="32"/>
        </w:rPr>
        <w:t>第十九条</w:t>
      </w:r>
      <w:r>
        <w:rPr>
          <w:rStyle w:val="C3"/>
          <w:rFonts w:ascii="仿宋" w:hAnsi="仿宋"/>
          <w:b w:val="1"/>
          <w:sz w:val="32"/>
        </w:rPr>
        <w:t xml:space="preserve">  </w:t>
      </w:r>
      <w:r>
        <w:rPr>
          <w:rStyle w:val="C3"/>
          <w:rFonts w:ascii="仿宋" w:hAnsi="仿宋"/>
          <w:sz w:val="32"/>
        </w:rPr>
        <w:t>任何组织和个人对违反本条例规定的行为都有权举报。</w:t>
      </w:r>
    </w:p>
    <w:p>
      <w:pPr>
        <w:pStyle w:val="P1"/>
        <w:keepNext w:val="0"/>
        <w:keepLines w:val="0"/>
        <w:widowControl w:val="0"/>
        <w:spacing w:lineRule="exact" w:line="640"/>
        <w:ind w:firstLine="640" w:left="0" w:right="0"/>
        <w:jc w:val="both"/>
        <w:rPr>
          <w:rStyle w:val="C3"/>
          <w:rFonts w:ascii="仿宋" w:hAnsi="仿宋"/>
          <w:sz w:val="32"/>
        </w:rPr>
      </w:pPr>
      <w:r>
        <w:rPr>
          <w:rStyle w:val="C3"/>
          <w:rFonts w:ascii="仿宋" w:hAnsi="仿宋"/>
          <w:sz w:val="32"/>
        </w:rPr>
        <w:t>县级以上人民政府林业草原主管部门以及乡（镇）人民政府、街道办事处应当设立举报电话、信箱等，并向社会公布；对接到的举报，应当及时核实处理。</w:t>
      </w:r>
    </w:p>
    <w:p>
      <w:pPr>
        <w:pStyle w:val="P1"/>
        <w:keepNext w:val="0"/>
        <w:keepLines w:val="0"/>
        <w:widowControl w:val="0"/>
        <w:spacing w:lineRule="exact" w:line="640"/>
        <w:ind w:firstLine="640" w:left="0" w:right="0"/>
        <w:jc w:val="both"/>
        <w:rPr>
          <w:rStyle w:val="C3"/>
          <w:rFonts w:ascii="宋体" w:hAnsi="宋体"/>
          <w:b w:val="1"/>
          <w:sz w:val="32"/>
        </w:rPr>
      </w:pPr>
      <w:r>
        <w:rPr>
          <w:rStyle w:val="C3"/>
          <w:rFonts w:ascii="黑体" w:hAnsi="黑体"/>
          <w:b w:val="0"/>
          <w:sz w:val="32"/>
        </w:rPr>
        <w:t>第二十条</w:t>
      </w:r>
      <w:r>
        <w:rPr>
          <w:rStyle w:val="C3"/>
          <w:rFonts w:ascii="仿宋" w:hAnsi="仿宋"/>
          <w:b w:val="1"/>
          <w:sz w:val="32"/>
        </w:rPr>
        <w:t xml:space="preserve">  </w:t>
      </w:r>
      <w:r>
        <w:rPr>
          <w:rStyle w:val="C3"/>
          <w:rFonts w:ascii="仿宋" w:hAnsi="仿宋"/>
          <w:sz w:val="32"/>
        </w:rPr>
        <w:t>县级以上人民政府按照国家和省有关规定，对在禁牧、轮牧、休牧工作中做出显著成绩的组织和个人给予表彰、奖励。</w:t>
      </w: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sz w:val="32"/>
        </w:rPr>
        <w:t>第二十一条</w:t>
      </w:r>
      <w:r>
        <w:rPr>
          <w:rStyle w:val="C3"/>
          <w:rFonts w:ascii="仿宋" w:hAnsi="仿宋"/>
          <w:b w:val="1"/>
          <w:sz w:val="32"/>
        </w:rPr>
        <w:t xml:space="preserve"> </w:t>
      </w:r>
      <w:r>
        <w:rPr>
          <w:rStyle w:val="C3"/>
          <w:rFonts w:ascii="仿宋" w:hAnsi="仿宋"/>
          <w:sz w:val="32"/>
        </w:rPr>
        <w:t xml:space="preserve"> 违反本条例第十一条规定，超载放牧或者在禁止放牧的区域放牧的，由县级人民政府林业草原主管部门责令改正，并对林地、草地使用权人或者牲畜所有人处以每个羊单位十元罚款，饲养人和牲畜所有人不一致的，同时对饲养人处以每个羊单位五元罚款。</w:t>
      </w: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sz w:val="32"/>
        </w:rPr>
        <w:t>第二十二条</w:t>
      </w:r>
      <w:r>
        <w:rPr>
          <w:rStyle w:val="C3"/>
          <w:rFonts w:ascii="仿宋" w:hAnsi="仿宋"/>
          <w:b w:val="1"/>
          <w:sz w:val="32"/>
        </w:rPr>
        <w:t xml:space="preserve">  </w:t>
      </w:r>
      <w:r>
        <w:rPr>
          <w:rStyle w:val="C3"/>
          <w:rFonts w:ascii="仿宋" w:hAnsi="仿宋"/>
          <w:sz w:val="32"/>
        </w:rPr>
        <w:t>违反本条例第十二条规定，损毁或者擅自移动界桩、围栏、标识等设施的，由县级人民政府林业草原主管部门处五百元以上两千元以下罚款。</w:t>
      </w:r>
    </w:p>
    <w:p>
      <w:pPr>
        <w:pStyle w:val="P1"/>
        <w:ind w:firstLine="640"/>
        <w:rPr>
          <w:rStyle w:val="C3"/>
          <w:rFonts w:ascii="宋体" w:hAnsi="宋体"/>
          <w:b w:val="1"/>
          <w:sz w:val="32"/>
        </w:rPr>
      </w:pPr>
      <w:r>
        <w:rPr>
          <w:rStyle w:val="C3"/>
          <w:rFonts w:ascii="黑体" w:hAnsi="黑体"/>
          <w:b w:val="0"/>
          <w:sz w:val="32"/>
        </w:rPr>
        <w:t>第二十三条</w:t>
      </w:r>
      <w:r>
        <w:rPr>
          <w:rStyle w:val="C3"/>
          <w:rFonts w:ascii="仿宋" w:hAnsi="仿宋"/>
          <w:b w:val="1"/>
          <w:sz w:val="32"/>
        </w:rPr>
        <w:t xml:space="preserve"> </w:t>
      </w:r>
      <w:r>
        <w:rPr>
          <w:rStyle w:val="C3"/>
          <w:rFonts w:ascii="仿宋" w:hAnsi="仿宋"/>
          <w:sz w:val="32"/>
        </w:rPr>
        <w:t xml:space="preserve"> 林业</w:t>
      </w:r>
      <w:r>
        <w:rPr>
          <w:rStyle w:val="C3"/>
          <w:rFonts w:ascii="Microsoft YaHei UI" w:hAnsi="Microsoft YaHei UI"/>
          <w:sz w:val="32"/>
        </w:rPr>
        <w:t>草原行政主管部门及其他国家机关工作人员在禁牧、轮牧、休牧工作中</w:t>
      </w:r>
      <w:r>
        <w:rPr>
          <w:rStyle w:val="C3"/>
          <w:rFonts w:ascii="仿宋" w:hAnsi="仿宋"/>
          <w:sz w:val="32"/>
        </w:rPr>
        <w:t>滥用职权、玩忽职守、徇私舞弊的，对直接负责的主管人员和其他直接责任人员依法给予处分；构成犯罪的，依法追究刑事责任。</w:t>
      </w: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sz w:val="32"/>
        </w:rPr>
        <w:t>第二十四条</w:t>
      </w:r>
      <w:r>
        <w:rPr>
          <w:rStyle w:val="C3"/>
          <w:rFonts w:ascii="仿宋" w:hAnsi="仿宋"/>
          <w:b w:val="1"/>
          <w:sz w:val="32"/>
        </w:rPr>
        <w:t xml:space="preserve">  </w:t>
      </w:r>
      <w:r>
        <w:rPr>
          <w:rStyle w:val="C3"/>
          <w:rFonts w:ascii="仿宋" w:hAnsi="仿宋"/>
          <w:sz w:val="32"/>
        </w:rPr>
        <w:t>本条例所称羊单位，是指1只体重45kg日消耗1.8kg标准干草的成年绵羊，或者与此相当的其他家畜。具体折算按行业标准执行。</w:t>
      </w:r>
    </w:p>
    <w:p>
      <w:pPr>
        <w:pStyle w:val="P1"/>
        <w:keepNext w:val="0"/>
        <w:keepLines w:val="0"/>
        <w:widowControl w:val="0"/>
        <w:spacing w:lineRule="exact" w:line="640"/>
        <w:ind w:firstLine="640" w:left="0" w:right="0"/>
        <w:jc w:val="both"/>
        <w:rPr>
          <w:rStyle w:val="C3"/>
          <w:rFonts w:ascii="仿宋" w:hAnsi="仿宋"/>
          <w:sz w:val="32"/>
        </w:rPr>
      </w:pPr>
      <w:r>
        <w:rPr>
          <w:rStyle w:val="C3"/>
          <w:rFonts w:ascii="黑体" w:hAnsi="黑体"/>
          <w:b w:val="0"/>
          <w:sz w:val="32"/>
        </w:rPr>
        <w:t>第二十五条</w:t>
      </w:r>
      <w:r>
        <w:rPr>
          <w:rStyle w:val="C3"/>
          <w:rFonts w:ascii="仿宋" w:hAnsi="仿宋"/>
          <w:sz w:val="32"/>
        </w:rPr>
        <w:t xml:space="preserve">  本条例自2023年1月1日起施行。</w:t>
      </w:r>
    </w:p>
    <w:p>
      <w:pPr>
        <w:pStyle w:val="P1"/>
        <w:keepNext w:val="0"/>
        <w:keepLines w:val="0"/>
        <w:widowControl w:val="0"/>
        <w:spacing w:lineRule="exact" w:line="640"/>
        <w:ind w:firstLine="640" w:left="0" w:right="0"/>
        <w:jc w:val="both"/>
        <w:rPr>
          <w:rStyle w:val="C3"/>
          <w:rFonts w:ascii="仿宋" w:hAnsi="仿宋"/>
          <w:sz w:val="32"/>
        </w:rPr>
      </w:pPr>
    </w:p>
    <w:p>
      <w:pPr>
        <w:pStyle w:val="P7"/>
        <w:rPr>
          <w:rStyle w:val="C3"/>
          <w:rFonts w:ascii="方正仿宋_GBK" w:hAnsi="方正仿宋_GBK"/>
          <w:color w:val="auto"/>
          <w:sz w:val="24"/>
        </w:rPr>
      </w:pPr>
    </w:p>
    <w:p>
      <w:pPr>
        <w:pStyle w:val="P7"/>
        <w:rPr>
          <w:rStyle w:val="C3"/>
          <w:rFonts w:ascii="方正仿宋_GBK" w:hAnsi="方正仿宋_GBK"/>
          <w:color w:val="auto"/>
          <w:sz w:val="24"/>
        </w:rPr>
      </w:pPr>
    </w:p>
    <w:p>
      <w:pPr>
        <w:pStyle w:val="P7"/>
        <w:rPr>
          <w:rStyle w:val="C3"/>
          <w:rFonts w:ascii="方正仿宋_GBK" w:hAnsi="方正仿宋_GBK"/>
          <w:color w:val="auto"/>
          <w:sz w:val="24"/>
        </w:rPr>
      </w:pPr>
    </w:p>
    <w:p>
      <w:pPr>
        <w:pStyle w:val="P7"/>
        <w:rPr>
          <w:rStyle w:val="C3"/>
          <w:rFonts w:ascii="方正仿宋_GBK" w:hAnsi="方正仿宋_GBK"/>
          <w:color w:val="auto"/>
          <w:sz w:val="24"/>
        </w:rPr>
      </w:pPr>
    </w:p>
    <w:p>
      <w:pPr>
        <w:pStyle w:val="P7"/>
        <w:rPr>
          <w:rStyle w:val="C3"/>
          <w:rFonts w:ascii="方正仿宋_GBK" w:hAnsi="方正仿宋_GBK"/>
          <w:color w:val="auto"/>
          <w:sz w:val="24"/>
        </w:rPr>
      </w:pPr>
    </w:p>
    <w:p>
      <w:pPr>
        <w:pStyle w:val="P7"/>
        <w:rPr>
          <w:rStyle w:val="C3"/>
          <w:rFonts w:ascii="方正仿宋_GBK" w:hAnsi="方正仿宋_GBK"/>
          <w:color w:val="auto"/>
          <w:sz w:val="24"/>
        </w:rPr>
      </w:pPr>
    </w:p>
    <w:p>
      <w:pPr>
        <w:pStyle w:val="P7"/>
        <w:rPr>
          <w:rStyle w:val="C3"/>
          <w:rFonts w:ascii="方正仿宋_GBK" w:hAnsi="方正仿宋_GBK"/>
          <w:color w:val="auto"/>
          <w:sz w:val="24"/>
        </w:rPr>
      </w:pPr>
    </w:p>
    <w:p>
      <w:pPr>
        <w:pStyle w:val="P7"/>
        <w:rPr>
          <w:rStyle w:val="C3"/>
          <w:rFonts w:ascii="方正仿宋_GBK" w:hAnsi="方正仿宋_GBK"/>
          <w:color w:val="auto"/>
          <w:sz w:val="24"/>
        </w:rPr>
      </w:pPr>
    </w:p>
    <w:p>
      <w:pPr>
        <w:pStyle w:val="P7"/>
        <w:rPr>
          <w:rStyle w:val="C3"/>
          <w:rFonts w:ascii="方正仿宋_GBK" w:hAnsi="方正仿宋_GBK"/>
          <w:color w:val="auto"/>
          <w:sz w:val="24"/>
        </w:rPr>
      </w:pPr>
    </w:p>
    <w:p>
      <w:pPr>
        <w:pStyle w:val="P7"/>
        <w:rPr>
          <w:rStyle w:val="C3"/>
          <w:rFonts w:ascii="方正仿宋_GBK" w:hAnsi="方正仿宋_GBK"/>
          <w:color w:val="auto"/>
          <w:sz w:val="24"/>
        </w:rPr>
      </w:pPr>
    </w:p>
    <w:p>
      <w:pPr>
        <w:pStyle w:val="P7"/>
        <w:rPr>
          <w:rStyle w:val="C3"/>
          <w:rFonts w:ascii="方正仿宋_GBK" w:hAnsi="方正仿宋_GBK"/>
          <w:color w:val="auto"/>
          <w:sz w:val="24"/>
        </w:rPr>
      </w:pPr>
    </w:p>
    <w:p>
      <w:pPr>
        <w:pStyle w:val="P7"/>
        <w:rPr>
          <w:rStyle w:val="C3"/>
          <w:rFonts w:ascii="方正仿宋_GBK" w:hAnsi="方正仿宋_GBK"/>
          <w:color w:val="auto"/>
          <w:sz w:val="24"/>
        </w:rPr>
      </w:pPr>
    </w:p>
    <w:p>
      <w:pPr>
        <w:pStyle w:val="P7"/>
        <w:rPr>
          <w:rStyle w:val="C3"/>
          <w:rFonts w:ascii="方正仿宋_GBK" w:hAnsi="方正仿宋_GBK"/>
          <w:color w:val="auto"/>
          <w:sz w:val="24"/>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rPr>
                              <w:rStyle w:val="C3"/>
                              <w:rFonts w:ascii="方正仿宋_GBK" w:hAnsi="方正仿宋_GBK"/>
                              <w:sz w:val="28"/>
                            </w:rPr>
                          </w:pPr>
                          <w:r>
                            <w:fldChar w:fldCharType="begin"/>
                          </w:r>
                          <w:r>
                            <w:rPr>
                              <w:rStyle w:val="C3"/>
                              <w:rFonts w:ascii="方正仿宋_GBK" w:hAnsi="方正仿宋_GBK"/>
                              <w:sz w:val="28"/>
                            </w:rPr>
                            <w:instrText xml:space="preserve"> PAGE  \* MERGEFORMAT </w:instrText>
                          </w:r>
                          <w:r>
                            <w:rPr>
                              <w:rStyle w:val="C3"/>
                              <w:rFonts w:ascii="方正仿宋_GBK" w:hAnsi="方正仿宋_GBK"/>
                              <w:sz w:val="28"/>
                            </w:rPr>
                            <w:fldChar w:fldCharType="separate"/>
                          </w:r>
                          <w:r>
                            <w:rPr>
                              <w:rStyle w:val="C3"/>
                              <w:rFonts w:ascii="方正仿宋_GBK" w:hAnsi="方正仿宋_GBK"/>
                              <w:sz w:val="28"/>
                            </w:rPr>
                            <w:t>#</w:t>
                          </w:r>
                          <w:r>
                            <w:rPr>
                              <w:rStyle w:val="C3"/>
                              <w:rFonts w:ascii="方正仿宋_GBK" w:hAnsi="方正仿宋_GBK"/>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rPr>
                        <w:rStyle w:val="C3"/>
                        <w:rFonts w:ascii="方正仿宋_GBK" w:hAnsi="方正仿宋_GBK"/>
                        <w:sz w:val="28"/>
                      </w:rPr>
                    </w:pPr>
                    <w:r>
                      <w:fldChar w:fldCharType="begin"/>
                    </w:r>
                    <w:r>
                      <w:rPr>
                        <w:rStyle w:val="C3"/>
                        <w:rFonts w:ascii="方正仿宋_GBK" w:hAnsi="方正仿宋_GBK"/>
                        <w:sz w:val="28"/>
                      </w:rPr>
                      <w:instrText xml:space="preserve"> PAGE  \* MERGEFORMAT </w:instrText>
                    </w:r>
                    <w:r>
                      <w:rPr>
                        <w:rStyle w:val="C3"/>
                        <w:rFonts w:ascii="方正仿宋_GBK" w:hAnsi="方正仿宋_GBK"/>
                        <w:sz w:val="28"/>
                      </w:rPr>
                      <w:fldChar w:fldCharType="separate"/>
                    </w:r>
                    <w:r>
                      <w:rPr>
                        <w:rStyle w:val="C3"/>
                        <w:rFonts w:ascii="方正仿宋_GBK" w:hAnsi="方正仿宋_GBK"/>
                        <w:sz w:val="28"/>
                      </w:rPr>
                      <w:t>#</w:t>
                    </w:r>
                    <w:r>
                      <w:rPr>
                        <w:rStyle w:val="C3"/>
                        <w:rFonts w:ascii="方正仿宋_GBK" w:hAnsi="方正仿宋_GBK"/>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标题 1"/>
    <w:next w:val="P1"/>
    <w:qFormat/>
    <w:pPr>
      <w:keepNext w:val="1"/>
      <w:keepLines w:val="1"/>
      <w:spacing w:after="240"/>
      <w:jc w:val="center"/>
      <w:outlineLvl w:val="0"/>
    </w:pPr>
    <w:rPr>
      <w:rFonts w:ascii="Times New Roman" w:hAnsi="Times New Roman"/>
      <w:b w:val="1"/>
      <w:sz w:val="36"/>
    </w:rPr>
  </w:style>
  <w:style w:type="paragraph" w:styleId="P3">
    <w:name w:val="标题 5"/>
    <w:basedOn w:val="P1"/>
    <w:next w:val="P1"/>
    <w:qFormat/>
    <w:pPr>
      <w:spacing w:lineRule="auto" w:line="360"/>
      <w:ind w:firstLine="200"/>
      <w:outlineLvl w:val="4"/>
    </w:pPr>
    <w:rPr>
      <w:rFonts w:ascii="仿宋_GB2312" w:hAnsi="仿宋_GB2312"/>
      <w:sz w:val="32"/>
    </w:rPr>
  </w:style>
  <w:style w:type="paragraph" w:styleId="P4">
    <w:name w:val="正文首行缩进 2"/>
    <w:basedOn w:val="P1"/>
    <w:next w:val="P4"/>
    <w:qFormat/>
    <w:pPr>
      <w:ind w:firstLine="640"/>
    </w:pPr>
    <w:rPr>
      <w:rFonts w:ascii="仿宋" w:hAnsi="仿宋"/>
      <w:sz w:val="32"/>
    </w:rPr>
  </w:style>
  <w:style w:type="paragraph" w:styleId="P5">
    <w:name w:val="引文目录"/>
    <w:basedOn w:val="P1"/>
    <w:next w:val="P1"/>
    <w:qFormat/>
    <w:pPr>
      <w:ind w:left="420"/>
    </w:pPr>
    <w:rPr>
      <w:sz w:val="32"/>
    </w:rPr>
  </w:style>
  <w:style w:type="paragraph" w:styleId="P6">
    <w:name w:val="批注文字"/>
    <w:basedOn w:val="P1"/>
    <w:next w:val="P6"/>
    <w:pPr>
      <w:jc w:val="left"/>
    </w:pPr>
    <w:rPr/>
  </w:style>
  <w:style w:type="paragraph" w:styleId="P7">
    <w:name w:val="正文文本"/>
    <w:basedOn w:val="P1"/>
    <w:next w:val="P7"/>
    <w:qFormat/>
    <w:pPr>
      <w:spacing w:after="120"/>
    </w:pPr>
    <w:rPr>
      <w:rFonts w:ascii="Calibri" w:hAnsi="Calibri"/>
      <w:sz w:val="21"/>
    </w:rPr>
  </w:style>
  <w:style w:type="paragraph" w:styleId="P8">
    <w:name w:val="页脚"/>
    <w:basedOn w:val="P1"/>
    <w:next w:val="P8"/>
    <w:qFormat/>
    <w:pPr>
      <w:tabs>
        <w:tab w:val="center" w:pos="4153" w:leader="none"/>
        <w:tab w:val="right" w:pos="8306" w:leader="none"/>
      </w:tabs>
      <w:jc w:val="left"/>
    </w:pPr>
    <w:rPr>
      <w:sz w:val="18"/>
    </w:rPr>
  </w:style>
  <w:style w:type="paragraph" w:styleId="P9">
    <w:name w:val="页眉"/>
    <w:basedOn w:val="P1"/>
    <w:next w:val="P9"/>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2014-11-12T04:08:00Z</dcterms:created>
  <cp:lastModifiedBy>f1TZOF\f1TZOF-</cp:lastModifiedBy>
  <cp:lastPrinted>2022-10-31T23:28:00Z</cp:lastPrinted>
  <dcterms:modified xsi:type="dcterms:W3CDTF">2024-08-28T01:34:17Z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0D802689DF3B4030B0C84B8A00F7048A</vt:lpwstr>
  </property>
</Properties>
</file>