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1A28BA" Type="http://schemas.openxmlformats.org/officeDocument/2006/relationships/officeDocument" Target="/word/document.xml" /><Relationship Id="coreR551A28BA" Type="http://schemas.openxmlformats.org/package/2006/relationships/metadata/core-properties" Target="/docProps/core.xml" /><Relationship Id="customR551A28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宋体" w:hAnsi="宋体"/>
          <w:sz w:val="44"/>
        </w:rPr>
      </w:pPr>
      <w:r>
        <w:rPr>
          <w:rStyle w:val="C3"/>
          <w:rFonts w:ascii="宋体" w:hAnsi="宋体"/>
          <w:sz w:val="44"/>
        </w:rPr>
        <w:t>天津市专利促进与保护条例</w:t>
      </w:r>
    </w:p>
    <w:p>
      <w:pPr>
        <w:pStyle w:val="P1"/>
        <w:widowControl w:val="1"/>
        <w:spacing w:lineRule="exact" w:line="560"/>
        <w:contextualSpacing w:val="1"/>
        <w:jc w:val="center"/>
        <w:rPr>
          <w:rStyle w:val="C3"/>
          <w:rFonts w:ascii="Adobe 仿宋 Std R" w:hAnsi="Adobe 仿宋 Std R"/>
          <w:color w:val="000000"/>
        </w:rPr>
      </w:pPr>
    </w:p>
    <w:p>
      <w:pPr>
        <w:pStyle w:val="P1"/>
        <w:widowControl w:val="1"/>
        <w:spacing w:lineRule="exact" w:line="560"/>
        <w:ind w:left="632" w:right="632"/>
        <w:contextualSpacing w:val="1"/>
        <w:rPr>
          <w:rStyle w:val="C3"/>
          <w:rFonts w:ascii="楷体_GB2312" w:hAnsi="楷体_GB2312"/>
        </w:rPr>
      </w:pPr>
      <w:r>
        <w:rPr>
          <w:rStyle w:val="C3"/>
          <w:rFonts w:ascii="Microsoft YaHei UI" w:hAnsi="Microsoft YaHei UI"/>
          <w:color w:val="000000"/>
        </w:rPr>
        <w:t>（</w:t>
      </w:r>
      <w:r>
        <w:rPr>
          <w:rStyle w:val="C3"/>
          <w:rFonts w:ascii="楷体_GB2312" w:hAnsi="楷体_GB2312"/>
          <w:color w:val="000000"/>
        </w:rPr>
        <w:t>2011</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6</w:t>
      </w:r>
      <w:r>
        <w:rPr>
          <w:rStyle w:val="C3"/>
          <w:rFonts w:ascii="Microsoft YaHei UI" w:hAnsi="Microsoft YaHei UI"/>
          <w:color w:val="000000"/>
        </w:rPr>
        <w:t>日天津市第十五届人民代表大会常务委员会第二十一次会议通过</w:t>
      </w:r>
      <w:r>
        <w:rPr>
          <w:rStyle w:val="C3"/>
          <w:rFonts w:ascii="楷体_GB2312" w:hAnsi="楷体_GB2312"/>
          <w:color w:val="000000"/>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日天津市第十六届人民代表大会常务委员会第二十五次会议《关于修改部分地方性法规的决定》修正</w:t>
      </w:r>
      <w:r>
        <w:rPr>
          <w:rStyle w:val="C3"/>
          <w:rFonts w:ascii="Microsoft YaHei UI" w:hAnsi="Microsoft YaHei UI"/>
          <w:color w:val="000000"/>
        </w:rPr>
        <w:t>）</w:t>
      </w:r>
    </w:p>
    <w:p>
      <w:pPr>
        <w:pStyle w:val="P22"/>
        <w:spacing w:lineRule="exact" w:line="560"/>
        <w:contextualSpacing w:val="1"/>
        <w:jc w:val="center"/>
        <w:rPr>
          <w:rStyle w:val="C3"/>
          <w:rFonts w:ascii="楷体_GB2312" w:hAnsi="楷体_GB2312"/>
        </w:rPr>
      </w:pPr>
    </w:p>
    <w:p>
      <w:pPr>
        <w:pStyle w:val="P2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专利创造</w:t>
      </w:r>
    </w:p>
    <w:p>
      <w:pPr>
        <w:pStyle w:val="P2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专利应用</w:t>
      </w:r>
    </w:p>
    <w:p>
      <w:pPr>
        <w:pStyle w:val="P2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专利保护</w:t>
      </w:r>
    </w:p>
    <w:p>
      <w:pPr>
        <w:pStyle w:val="P2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专利管理</w:t>
      </w:r>
    </w:p>
    <w:p>
      <w:pPr>
        <w:pStyle w:val="P2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保障措施</w:t>
      </w:r>
    </w:p>
    <w:p>
      <w:pPr>
        <w:pStyle w:val="P2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2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2"/>
        <w:spacing w:lineRule="exact" w:line="560" w:before="0" w:after="0" w:beforeAutospacing="0" w:afterAutospacing="0"/>
        <w:contextualSpacing w:val="1"/>
        <w:jc w:val="both"/>
        <w:rPr>
          <w:rStyle w:val="C3"/>
          <w:rFonts w:ascii="仿宋_GB2312" w:hAnsi="仿宋_GB2312"/>
          <w:color w:val="auto"/>
          <w:sz w:val="3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鼓励发明创造，推动专利运用，保护发明人、设计人和专利权人的合法权益，提高自主创新能力，建设创新型城市，促进经济社会发展，根据《中华人民共和国专利法》、《中华人民共和国专利法实施细则》和有关法律、法规，结合本市实际情况，制定本条例。</w:t>
      </w:r>
    </w:p>
    <w:p>
      <w:pPr>
        <w:pStyle w:val="P1"/>
        <w:spacing w:lineRule="exact" w:line="560"/>
        <w:ind w:firstLine="632"/>
        <w:contextualSpacing w:val="1"/>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本条例适用于本市行政区域内的专利创造、运用、保护和管理及其相关活动。</w:t>
      </w:r>
    </w:p>
    <w:p>
      <w:pPr>
        <w:pStyle w:val="P1"/>
        <w:spacing w:lineRule="exact" w:line="560"/>
        <w:ind w:firstLine="632"/>
        <w:contextualSpacing w:val="1"/>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本市专利工作应当遵循激励创造、有效运用、依法保护、科学管理的原则。</w:t>
      </w:r>
    </w:p>
    <w:p>
      <w:pPr>
        <w:pStyle w:val="P1"/>
        <w:spacing w:lineRule="exact" w:line="560"/>
        <w:ind w:firstLine="632"/>
        <w:contextualSpacing w:val="1"/>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市和区、县人民政府应当加强对专利工作的领导，将专利工作纳入国民经济和社会发展规划，制定和实施专利发展战略，采取措施促进专利创造、运用，加强专利保护和管理，并保障专利事业发展所需的经费。</w:t>
      </w:r>
    </w:p>
    <w:p>
      <w:pPr>
        <w:pStyle w:val="P1"/>
        <w:spacing w:lineRule="exact" w:line="560"/>
        <w:ind w:firstLine="632"/>
        <w:contextualSpacing w:val="1"/>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市和区、县人民政府知识产权战略领导机构，负责统筹协调有关部门的专利工作，研究、解决与知识产权有关的重大问题。</w:t>
      </w:r>
    </w:p>
    <w:p>
      <w:pPr>
        <w:pStyle w:val="P1"/>
        <w:spacing w:lineRule="exact" w:line="560"/>
        <w:ind w:firstLine="632"/>
        <w:contextualSpacing w:val="1"/>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市和区、县人民政府专利行政部门负责本行政区域内的专利工作。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市和区、县人民政府有关部门和机构应当按照各自的职责，做好专利促进和保护的相关工作。</w:t>
      </w:r>
    </w:p>
    <w:p>
      <w:pPr>
        <w:pStyle w:val="P1"/>
        <w:spacing w:lineRule="exact" w:line="560"/>
        <w:ind w:firstLine="632"/>
        <w:contextualSpacing w:val="1"/>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市和区、县人民政府应当设立专利专项资金，保障专项资金的规模与专利工作的实际需要相适应。</w:t>
      </w:r>
    </w:p>
    <w:p>
      <w:pPr>
        <w:pStyle w:val="P1"/>
        <w:spacing w:lineRule="exact" w:line="560"/>
        <w:ind w:firstLine="632"/>
        <w:contextualSpacing w:val="1"/>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市人民政府设立专利奖，对产生较好经济效益、社会效益的优秀专利项目的单位和发明人、设计人给予奖励。</w:t>
      </w:r>
    </w:p>
    <w:p>
      <w:pPr>
        <w:pStyle w:val="P1"/>
        <w:spacing w:lineRule="exact" w:line="560"/>
        <w:ind w:firstLine="632"/>
        <w:contextualSpacing w:val="1"/>
        <w:rPr>
          <w:rStyle w:val="C3"/>
          <w:rFonts w:ascii="仿宋_GB2312" w:hAnsi="仿宋_GB2312"/>
        </w:rPr>
      </w:pPr>
      <w:r>
        <w:rPr>
          <w:rStyle w:val="C3"/>
          <w:rFonts w:ascii="Microsoft YaHei UI" w:hAnsi="Microsoft YaHei UI"/>
        </w:rPr>
        <w:t>区、县人民政府应当对在本地区产生较好经济效益和社会效益的优秀专利项目或者专利工作成绩突出的单位和个人给予奖励。</w:t>
      </w:r>
    </w:p>
    <w:p>
      <w:pPr>
        <w:pStyle w:val="P1"/>
        <w:spacing w:lineRule="exact" w:line="560"/>
        <w:ind w:firstLine="62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专利创造</w:t>
      </w:r>
    </w:p>
    <w:p>
      <w:pPr>
        <w:pStyle w:val="P1"/>
        <w:spacing w:lineRule="exact" w:line="560"/>
        <w:contextualSpacing w:val="1"/>
        <w:jc w:val="center"/>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 xml:space="preserve">第九条  </w:t>
      </w:r>
      <w:r>
        <w:rPr>
          <w:rStyle w:val="C3"/>
          <w:rFonts w:ascii="Microsoft YaHei UI" w:hAnsi="Microsoft YaHei UI"/>
        </w:rPr>
        <w:t>本市的专利创造工作应当将研究开发对产业发展有重大作用的核心专利技术、关键专利技术作为重点，促进原始创新、集成创新和引进消化吸收再创新。</w:t>
      </w:r>
    </w:p>
    <w:p>
      <w:pPr>
        <w:pStyle w:val="P1"/>
        <w:spacing w:lineRule="exact" w:line="560"/>
        <w:ind w:firstLine="632"/>
        <w:contextualSpacing w:val="1"/>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企业事业单位及其他组织研究、开发专利技术及产品的投入费用，按照有关规定准予在企业所得税前扣除，享受相应税收优惠政策。</w:t>
      </w:r>
    </w:p>
    <w:p>
      <w:pPr>
        <w:pStyle w:val="P1"/>
        <w:spacing w:lineRule="exact" w:line="560"/>
        <w:ind w:firstLine="632"/>
        <w:contextualSpacing w:val="1"/>
        <w:rPr>
          <w:rStyle w:val="C3"/>
          <w:rFonts w:ascii="仿宋_GB2312" w:hAnsi="仿宋_GB2312"/>
        </w:rPr>
      </w:pPr>
      <w:r>
        <w:rPr>
          <w:rStyle w:val="C3"/>
          <w:rFonts w:ascii="Microsoft YaHei UI" w:hAnsi="Microsoft YaHei UI"/>
        </w:rPr>
        <w:t>企业购买专利所发生的费用，可以按照有关规定准予在企业所得税前扣除。</w:t>
      </w:r>
    </w:p>
    <w:p>
      <w:pPr>
        <w:pStyle w:val="P16"/>
        <w:spacing w:lineRule="exact" w:line="560" w:after="0"/>
        <w:ind w:firstLine="632" w:left="0"/>
        <w:contextualSpacing w:val="1"/>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政府财政资金支持的科研开发、技术改造和高新技术产业化等项目的立项、核准、验收，应当把获得专利权作为指标。申请和维持专利所发生的相关费用，可以在项目经费中列支。</w:t>
      </w:r>
    </w:p>
    <w:p>
      <w:pPr>
        <w:pStyle w:val="P1"/>
        <w:spacing w:lineRule="exact" w:line="560"/>
        <w:ind w:firstLine="632"/>
        <w:contextualSpacing w:val="1"/>
        <w:rPr>
          <w:rStyle w:val="C3"/>
          <w:rFonts w:ascii="仿宋_GB2312" w:hAnsi="仿宋_GB2312"/>
          <w:color w:val="000000"/>
        </w:rPr>
      </w:pPr>
      <w:r>
        <w:rPr>
          <w:rStyle w:val="C3"/>
          <w:rFonts w:ascii="Microsoft YaHei UI" w:hAnsi="Microsoft YaHei UI"/>
          <w:color w:val="000000"/>
        </w:rPr>
        <w:t>申请前款项目的，申请人应当向项目主管部门提交相关技术的专利检索报告。申请人未提交专利检索报告的，项目主管部门不得予以立项。</w:t>
      </w:r>
    </w:p>
    <w:p>
      <w:pPr>
        <w:pStyle w:val="P1"/>
        <w:spacing w:lineRule="exact" w:line="560"/>
        <w:ind w:firstLine="632"/>
        <w:contextualSpacing w:val="1"/>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政府财政资金支持项目完成的发明创造，除涉及国家安全、国家利益和重大社会公共利益外，专利申请权和专利权属于项目承担单位。项目承担单位可以依法自主决定实施、许可他人实施、转让、作价入股等，并取得相应的收益。</w:t>
      </w:r>
    </w:p>
    <w:p>
      <w:pPr>
        <w:pStyle w:val="P1"/>
        <w:spacing w:lineRule="exact" w:line="560"/>
        <w:ind w:firstLine="632"/>
        <w:contextualSpacing w:val="1"/>
        <w:rPr>
          <w:rStyle w:val="C3"/>
          <w:rFonts w:ascii="仿宋_GB2312" w:hAnsi="仿宋_GB2312"/>
        </w:rPr>
      </w:pPr>
      <w:r>
        <w:rPr>
          <w:rStyle w:val="C3"/>
          <w:rFonts w:ascii="Microsoft YaHei UI" w:hAnsi="Microsoft YaHei UI"/>
        </w:rPr>
        <w:t>政府财政资金支持项目形成的专利，项目承担单位应当积极推广和实施，并将实施和维持的情况定期向项目主管部门报告。</w:t>
      </w:r>
    </w:p>
    <w:p>
      <w:pPr>
        <w:pStyle w:val="P1"/>
        <w:spacing w:lineRule="exact" w:line="560"/>
        <w:ind w:firstLine="632"/>
        <w:contextualSpacing w:val="1"/>
        <w:rPr>
          <w:rStyle w:val="C3"/>
          <w:rFonts w:ascii="仿宋_GB2312" w:hAnsi="仿宋_GB2312"/>
        </w:rPr>
      </w:pPr>
      <w:r>
        <w:rPr>
          <w:rStyle w:val="C3"/>
          <w:rFonts w:ascii="黑体" w:hAnsi="黑体"/>
        </w:rPr>
        <w:t>第十三条</w:t>
      </w:r>
      <w:r>
        <w:rPr>
          <w:rStyle w:val="C11"/>
          <w:rFonts w:ascii="仿宋_GB2312" w:hAnsi="仿宋_GB2312"/>
          <w:b w:val="0"/>
        </w:rPr>
        <w:t xml:space="preserve">  </w:t>
      </w:r>
      <w:r>
        <w:rPr>
          <w:rStyle w:val="C3"/>
          <w:rFonts w:ascii="Microsoft YaHei UI" w:hAnsi="Microsoft YaHei UI"/>
        </w:rPr>
        <w:t>高新技术企业、工程技术中心、工程研究中心、企业技术中心、重点实验室、工程实验室等认定和考核，应当将专利权拥有数量、质量、专利管理制度建设状况作为重要指标。</w:t>
      </w:r>
    </w:p>
    <w:p>
      <w:pPr>
        <w:pStyle w:val="P1"/>
        <w:spacing w:lineRule="exact" w:line="560"/>
        <w:ind w:firstLine="632"/>
        <w:contextualSpacing w:val="1"/>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被授予专利权的单位应当对职务发明创造的发明人或者设计人给予奖励。发明创造专利实施后，根据其推广应用的范围和取得的经济效益，对发明人或者设计人给予合理报酬。奖励或者报酬给付的方式和数量，当事人有约定的，从其约定。没有约定的，应当按照下列规定执行：</w:t>
      </w:r>
    </w:p>
    <w:p>
      <w:pPr>
        <w:pStyle w:val="P1"/>
        <w:spacing w:lineRule="exact" w:line="560"/>
        <w:ind w:firstLine="632"/>
        <w:contextualSpacing w:val="1"/>
        <w:rPr>
          <w:rStyle w:val="C3"/>
          <w:rFonts w:ascii="仿宋_GB2312" w:hAnsi="仿宋_GB2312"/>
        </w:rPr>
      </w:pPr>
      <w:r>
        <w:rPr>
          <w:rStyle w:val="C3"/>
          <w:rFonts w:ascii="Microsoft YaHei UI" w:hAnsi="Microsoft YaHei UI"/>
        </w:rPr>
        <w:t>（一）自专利权公告之日起三个月内发给发明人或者设计人奖金，所发奖金不得低于法律、法规规定的最低标准。</w:t>
      </w:r>
    </w:p>
    <w:p>
      <w:pPr>
        <w:pStyle w:val="P1"/>
        <w:spacing w:lineRule="exact" w:line="560"/>
        <w:ind w:firstLine="632"/>
        <w:contextualSpacing w:val="1"/>
        <w:rPr>
          <w:rStyle w:val="C3"/>
          <w:rFonts w:ascii="仿宋_GB2312" w:hAnsi="仿宋_GB2312"/>
        </w:rPr>
      </w:pPr>
      <w:r>
        <w:rPr>
          <w:rStyle w:val="C3"/>
          <w:rFonts w:ascii="Microsoft YaHei UI" w:hAnsi="Microsoft YaHei UI"/>
        </w:rPr>
        <w:t>（二）专利实施取得经济效益后，应当在专利权有效期内每年从实施该项发明专利或者实用新型专利的营业利润中提取不低于百分之五或者从实施该外观设计专利的营业利润中提取不低于百分之一，作为报酬支付发明人或者设计人，或者参照上述比例，发给发明人或者设计人一次性报酬。</w:t>
      </w:r>
    </w:p>
    <w:p>
      <w:pPr>
        <w:pStyle w:val="P1"/>
        <w:spacing w:lineRule="exact" w:line="560"/>
        <w:ind w:firstLine="632"/>
        <w:contextualSpacing w:val="1"/>
        <w:rPr>
          <w:rStyle w:val="C3"/>
          <w:rFonts w:ascii="仿宋_GB2312" w:hAnsi="仿宋_GB2312"/>
        </w:rPr>
      </w:pPr>
      <w:r>
        <w:rPr>
          <w:rStyle w:val="C3"/>
          <w:rFonts w:ascii="Microsoft YaHei UI" w:hAnsi="Microsoft YaHei UI"/>
        </w:rPr>
        <w:t>（三）专利技术转让或者许可他人实施的，应在获得转让、许可收益后三个月内从收取的转让费、使用费用中提取不低于百分之三十的比例，作为报酬付给发明人或者设计人。</w:t>
      </w:r>
    </w:p>
    <w:p>
      <w:pPr>
        <w:pStyle w:val="P1"/>
        <w:spacing w:lineRule="exact" w:line="560"/>
        <w:ind w:firstLine="632"/>
        <w:contextualSpacing w:val="1"/>
        <w:rPr>
          <w:rStyle w:val="C3"/>
          <w:rFonts w:ascii="仿宋_GB2312" w:hAnsi="仿宋_GB2312"/>
        </w:rPr>
      </w:pPr>
      <w:r>
        <w:rPr>
          <w:rStyle w:val="C3"/>
          <w:rFonts w:ascii="Microsoft YaHei UI" w:hAnsi="Microsoft YaHei UI"/>
        </w:rPr>
        <w:t>奖金和报酬可以现金、股份、股权收益或者当事人约定的其他形式给付。</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专利运用</w:t>
      </w:r>
    </w:p>
    <w:p>
      <w:pPr>
        <w:pStyle w:val="P1"/>
        <w:spacing w:lineRule="exact" w:line="560"/>
        <w:contextualSpacing w:val="1"/>
        <w:jc w:val="center"/>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市和区、县人民政府及其有关部门应当采取使用专项资金、贷款贴息等方式支持专利运用、促进专利技术的产业化；在政府扶持的科技、产业化计划项目立项时，同等条件下，优先支持拥有专利权的项目。</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专利行政部门应当制定专利技术实施项目计划，重点支持符合国家和本市产业政策、技术水平高、市场前景好的专利技术项目的实施，促进专利技术的产业化。</w:t>
      </w:r>
    </w:p>
    <w:p>
      <w:pPr>
        <w:pStyle w:val="P1"/>
        <w:spacing w:lineRule="exact" w:line="560"/>
        <w:ind w:firstLine="632"/>
        <w:contextualSpacing w:val="1"/>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企业事业单位和个人可以依法采取专利权入股、质押、转让、许可等方式运用专利。</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专利实施过程中形成的新产品，根据有关规定享受扶持新产品开发的优惠政策。</w:t>
      </w:r>
    </w:p>
    <w:p>
      <w:pPr>
        <w:pStyle w:val="P1"/>
        <w:spacing w:lineRule="exact" w:line="560"/>
        <w:ind w:firstLine="632"/>
        <w:contextualSpacing w:val="1"/>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本市鼓励和支持企业事业单位自主制定和参与制定基于自主知识产权的技术标准。</w:t>
      </w:r>
    </w:p>
    <w:p>
      <w:pPr>
        <w:pStyle w:val="P1"/>
        <w:spacing w:lineRule="exact" w:line="560"/>
        <w:ind w:firstLine="632"/>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本市鼓励科研机构、高等院校向企业转移专利技术成果。</w:t>
      </w:r>
    </w:p>
    <w:p>
      <w:pPr>
        <w:pStyle w:val="P1"/>
        <w:spacing w:lineRule="exact" w:line="560"/>
        <w:ind w:firstLine="632"/>
        <w:contextualSpacing w:val="1"/>
        <w:rPr>
          <w:rStyle w:val="C3"/>
          <w:rFonts w:ascii="仿宋_GB2312" w:hAnsi="仿宋_GB2312"/>
        </w:rPr>
      </w:pPr>
      <w:r>
        <w:rPr>
          <w:rStyle w:val="C3"/>
          <w:rFonts w:ascii="Microsoft YaHei UI" w:hAnsi="Microsoft YaHei UI"/>
        </w:rPr>
        <w:t>科研机构和高等院校应当建立、完善专利技术转移机制，完善专利管理制度和激励机制。</w:t>
      </w:r>
    </w:p>
    <w:p>
      <w:pPr>
        <w:pStyle w:val="P16"/>
        <w:spacing w:lineRule="exact" w:line="560" w:after="0"/>
        <w:ind w:firstLine="632" w:left="0"/>
        <w:contextualSpacing w:val="1"/>
        <w:rPr>
          <w:rStyle w:val="C3"/>
          <w:rFonts w:ascii="仿宋_GB2312" w:hAnsi="仿宋_GB2312"/>
          <w:sz w:val="32"/>
        </w:rPr>
      </w:pPr>
      <w:r>
        <w:rPr>
          <w:rStyle w:val="C3"/>
          <w:rFonts w:ascii="Microsoft YaHei UI" w:hAnsi="Microsoft YaHei UI"/>
          <w:sz w:val="32"/>
        </w:rPr>
        <w:t>对具备实施条件未能适时实施的单位享有的专利，鼓励职务发明创造的发明人、设计人或者其他单位和个人，与享有专利权的单位以签订合同的方式予以实施。该单位对上述专利的实施应当予以支持。</w:t>
      </w:r>
    </w:p>
    <w:p>
      <w:pPr>
        <w:pStyle w:val="P1"/>
        <w:spacing w:lineRule="exact" w:line="560"/>
        <w:ind w:firstLine="632"/>
        <w:contextualSpacing w:val="1"/>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市和区、县人民政府及其有关部门应当发展和规范专利交易市场，支持建立专利技术交易机构，推进专利技术交易服务，促进专利技术商品化和产业化。</w:t>
      </w:r>
    </w:p>
    <w:p>
      <w:pPr>
        <w:pStyle w:val="P1"/>
        <w:spacing w:lineRule="exact" w:line="560"/>
        <w:ind w:firstLine="632"/>
        <w:contextualSpacing w:val="1"/>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专利权转让合同、专利申请权转让合同、专利实施许可合同经依法登记或者备案的，当事人可以享受国家和本市规定的税收优惠。</w:t>
      </w:r>
    </w:p>
    <w:p>
      <w:pPr>
        <w:pStyle w:val="P1"/>
        <w:spacing w:lineRule="exact" w:line="560"/>
        <w:ind w:firstLine="632"/>
        <w:contextualSpacing w:val="1"/>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专利中介服务机构从事专利技术转让、专利技术开发和与之相关的专利技术服务、技术咨询业务，按照有关规定可以享受税收优惠。</w:t>
      </w:r>
    </w:p>
    <w:p>
      <w:pPr>
        <w:pStyle w:val="P1"/>
        <w:spacing w:lineRule="exact" w:line="560"/>
        <w:ind w:firstLine="632"/>
        <w:contextualSpacing w:val="1"/>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政府财政资金安排、设立的风险投资资金和风险投资机构，应当优先支持专利技术产业化项目的投融资需求。</w:t>
      </w:r>
    </w:p>
    <w:p>
      <w:pPr>
        <w:pStyle w:val="P1"/>
        <w:spacing w:lineRule="exact" w:line="560"/>
        <w:ind w:firstLine="632"/>
        <w:contextualSpacing w:val="1"/>
        <w:rPr>
          <w:rStyle w:val="C3"/>
          <w:rFonts w:ascii="仿宋_GB2312" w:hAnsi="仿宋_GB2312"/>
        </w:rPr>
      </w:pPr>
      <w:r>
        <w:rPr>
          <w:rStyle w:val="C3"/>
          <w:rFonts w:ascii="Microsoft YaHei UI" w:hAnsi="Microsoft YaHei UI"/>
        </w:rPr>
        <w:t>市和区、县人民政府可以在专利专项资金和其他资金中安排一定资金对专利技术产业化贷款项目进行贴息，引导商业银行对专利技术产业化项目信贷。鼓励担保机构优先为专利技术产业化项目提供融资担保。</w:t>
      </w:r>
    </w:p>
    <w:p>
      <w:pPr>
        <w:pStyle w:val="P1"/>
        <w:spacing w:lineRule="exact" w:line="560"/>
        <w:ind w:firstLine="632"/>
        <w:contextualSpacing w:val="1"/>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政府采购及其它使用财政性资金进行采购的，应当优先购买含有自主研究开发专利技术的产品。</w:t>
      </w:r>
    </w:p>
    <w:p>
      <w:pPr>
        <w:pStyle w:val="P1"/>
        <w:spacing w:lineRule="exact" w:line="560"/>
        <w:ind w:firstLine="632"/>
        <w:contextualSpacing w:val="1"/>
        <w:rPr>
          <w:rStyle w:val="C3"/>
          <w:rFonts w:ascii="仿宋_GB2312" w:hAnsi="仿宋_GB2312"/>
        </w:rPr>
      </w:pPr>
      <w:r>
        <w:rPr>
          <w:rStyle w:val="C3"/>
          <w:rFonts w:ascii="Microsoft YaHei UI" w:hAnsi="Microsoft YaHei UI"/>
        </w:rPr>
        <w:t>具有专利权的自主创新产品首次投向市场的，符合国民经济发展要求和先进技术发展方向，具有较大市场潜力并需要重点扶持的，经认定后，政府进行首购或者订购。</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专利保护</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任何单位或者个人不得非法实施他人专利，不得假冒专利，不得为非法实施他人专利和假冒专利提供便利条件。</w:t>
      </w:r>
    </w:p>
    <w:p>
      <w:pPr>
        <w:pStyle w:val="P1"/>
        <w:spacing w:lineRule="exact" w:line="560"/>
        <w:ind w:firstLine="632"/>
        <w:contextualSpacing w:val="1"/>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任何单位或者个人有权向专利行政部门举报假冒专利违法行为。</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专利行政部门应当建立接受举报的工作制度，公布举报方式，对举报、揭发和协助查处假冒专利违法行为的单位或者个人给予奖励，并为举报人保密。</w:t>
      </w:r>
    </w:p>
    <w:p>
      <w:pPr>
        <w:pStyle w:val="P1"/>
        <w:spacing w:lineRule="exact" w:line="560"/>
        <w:ind w:firstLine="632"/>
        <w:contextualSpacing w:val="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专利行政部门负责处理专利侵权纠纷、查处假冒专利行为的机构，应当有三名以上持有国务院专利行政部门或者市人民政府颁发的行政执法证件的执法人员。</w:t>
      </w:r>
    </w:p>
    <w:p>
      <w:pPr>
        <w:pStyle w:val="P1"/>
        <w:spacing w:lineRule="exact" w:line="560"/>
        <w:ind w:firstLine="632"/>
        <w:contextualSpacing w:val="1"/>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请求专利行政部门处理专利侵权纠纷的，应当符合下列条件：</w:t>
      </w:r>
    </w:p>
    <w:p>
      <w:pPr>
        <w:pStyle w:val="P1"/>
        <w:spacing w:lineRule="exact" w:line="560"/>
        <w:ind w:firstLine="632"/>
        <w:contextualSpacing w:val="1"/>
        <w:rPr>
          <w:rStyle w:val="C3"/>
          <w:rFonts w:ascii="仿宋_GB2312" w:hAnsi="仿宋_GB2312"/>
        </w:rPr>
      </w:pPr>
      <w:r>
        <w:rPr>
          <w:rStyle w:val="C3"/>
          <w:rFonts w:ascii="Microsoft YaHei UI" w:hAnsi="Microsoft YaHei UI"/>
        </w:rPr>
        <w:t>（一）请求人是专利权人或者利害关系人；</w:t>
      </w:r>
    </w:p>
    <w:p>
      <w:pPr>
        <w:pStyle w:val="P1"/>
        <w:spacing w:lineRule="exact" w:line="560"/>
        <w:ind w:firstLine="632"/>
        <w:contextualSpacing w:val="1"/>
        <w:rPr>
          <w:rStyle w:val="C3"/>
          <w:rFonts w:ascii="仿宋_GB2312" w:hAnsi="仿宋_GB2312"/>
        </w:rPr>
      </w:pPr>
      <w:r>
        <w:rPr>
          <w:rStyle w:val="C3"/>
          <w:rFonts w:ascii="Microsoft YaHei UI" w:hAnsi="Microsoft YaHei UI"/>
        </w:rPr>
        <w:t>（二）有明确的被请求人；</w:t>
      </w:r>
    </w:p>
    <w:p>
      <w:pPr>
        <w:pStyle w:val="P1"/>
        <w:spacing w:lineRule="exact" w:line="560"/>
        <w:ind w:firstLine="632"/>
        <w:contextualSpacing w:val="1"/>
        <w:rPr>
          <w:rStyle w:val="C3"/>
          <w:rFonts w:ascii="仿宋_GB2312" w:hAnsi="仿宋_GB2312"/>
        </w:rPr>
      </w:pPr>
      <w:r>
        <w:rPr>
          <w:rStyle w:val="C3"/>
          <w:rFonts w:ascii="Microsoft YaHei UI" w:hAnsi="Microsoft YaHei UI"/>
        </w:rPr>
        <w:t>（三）有明确的请求事项和具体事实、理由；</w:t>
      </w:r>
    </w:p>
    <w:p>
      <w:pPr>
        <w:pStyle w:val="P1"/>
        <w:spacing w:lineRule="exact" w:line="560"/>
        <w:ind w:firstLine="632"/>
        <w:contextualSpacing w:val="1"/>
        <w:rPr>
          <w:rStyle w:val="C3"/>
          <w:rFonts w:ascii="仿宋_GB2312" w:hAnsi="仿宋_GB2312"/>
        </w:rPr>
      </w:pPr>
      <w:r>
        <w:rPr>
          <w:rStyle w:val="C3"/>
          <w:rFonts w:ascii="Microsoft YaHei UI" w:hAnsi="Microsoft YaHei UI"/>
        </w:rPr>
        <w:t>（四）属于专利行政部门的受案范围和管辖；</w:t>
      </w:r>
    </w:p>
    <w:p>
      <w:pPr>
        <w:pStyle w:val="P1"/>
        <w:spacing w:lineRule="exact" w:line="560"/>
        <w:ind w:firstLine="632"/>
        <w:contextualSpacing w:val="1"/>
        <w:rPr>
          <w:rStyle w:val="C3"/>
          <w:rFonts w:ascii="仿宋_GB2312" w:hAnsi="仿宋_GB2312"/>
        </w:rPr>
      </w:pPr>
      <w:r>
        <w:rPr>
          <w:rStyle w:val="C3"/>
          <w:rFonts w:ascii="Microsoft YaHei UI" w:hAnsi="Microsoft YaHei UI"/>
        </w:rPr>
        <w:t>（五）当事人没有就该专利侵权纠纷向人民法院起诉。</w:t>
      </w:r>
    </w:p>
    <w:p>
      <w:pPr>
        <w:pStyle w:val="P1"/>
        <w:spacing w:lineRule="exact" w:line="560"/>
        <w:ind w:firstLine="632"/>
        <w:contextualSpacing w:val="1"/>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当事人请求专利行政部门处理专利侵权纠纷，应当提交请求书和有关证据，并按照被请求人的数量提供请求书副本。专利行政部门应当自收到请求书之日起七日内决定是否受理，并书面通知请求人。决定受理的，应当自受理之日起七日内将请求书副本送达被请求人；不予受理的，应当说明理由。</w:t>
      </w:r>
    </w:p>
    <w:p>
      <w:pPr>
        <w:pStyle w:val="P24"/>
        <w:spacing w:lineRule="exact" w:line="560" w:after="0"/>
        <w:ind w:firstLine="632" w:left="0"/>
        <w:contextualSpacing w:val="1"/>
        <w:rPr>
          <w:rStyle w:val="C3"/>
          <w:rFonts w:ascii="仿宋_GB2312" w:hAnsi="仿宋_GB2312"/>
        </w:rPr>
      </w:pPr>
      <w:r>
        <w:rPr>
          <w:rStyle w:val="C3"/>
          <w:rFonts w:ascii="Microsoft YaHei UI" w:hAnsi="Microsoft YaHei UI"/>
        </w:rPr>
        <w:t>被请求人应当自收到请求书副本之日起十五日内提交答辩书和有关证据。被请求人未按时提交或者不提交答辩书的，不影响专利侵权纠纷的处理。</w:t>
      </w:r>
    </w:p>
    <w:p>
      <w:pPr>
        <w:pStyle w:val="P1"/>
        <w:spacing w:lineRule="exact" w:line="560"/>
        <w:ind w:firstLine="632"/>
        <w:contextualSpacing w:val="1"/>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专利行政部门处理专利侵权纠纷案件，可以根据当事人的申请或者案情需要，委托有关单位进行技术鉴定。</w:t>
      </w:r>
    </w:p>
    <w:p>
      <w:pPr>
        <w:pStyle w:val="P1"/>
        <w:spacing w:lineRule="exact" w:line="560"/>
        <w:ind w:firstLine="632"/>
        <w:contextualSpacing w:val="1"/>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专利行政部门认定专利侵权行为成立，作出处理决定的，应当按照下列规定采取措施制止侵权行为：</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（一）侵权人制造专利产品的，责令其立即停止制造行为、销毁制造侵权产品的专用设备或模具，并不得销售、使用尚未售出的侵权产品或者以其他形式将其投放市场；</w:t>
      </w:r>
    </w:p>
    <w:p>
      <w:pPr>
        <w:pStyle w:val="P1"/>
        <w:spacing w:lineRule="exact" w:line="560"/>
        <w:contextualSpacing w:val="1"/>
        <w:rPr>
          <w:rStyle w:val="C3"/>
          <w:rFonts w:ascii="仿宋_GB2312" w:hAnsi="仿宋_GB2312"/>
        </w:rPr>
      </w:pPr>
      <w:r>
        <w:rPr>
          <w:rStyle w:val="C3"/>
          <w:rFonts w:ascii="Microsoft YaHei UI" w:hAnsi="Microsoft YaHei UI"/>
        </w:rPr>
        <w:t>　　（二）侵权人使用专利方法的，责令其立即停止使用行为、销毁实施专利方法的专用设备或模具，并不得销售、使用尚未售出的依照专利方法直接获得的侵权产品或者以其他形式将其投放市场；</w:t>
      </w:r>
    </w:p>
    <w:p>
      <w:pPr>
        <w:pStyle w:val="P1"/>
        <w:spacing w:lineRule="exact" w:line="560"/>
        <w:contextualSpacing w:val="1"/>
        <w:rPr>
          <w:rStyle w:val="C3"/>
          <w:rFonts w:ascii="仿宋_GB2312" w:hAnsi="仿宋_GB2312"/>
        </w:rPr>
      </w:pPr>
      <w:r>
        <w:rPr>
          <w:rStyle w:val="C3"/>
          <w:rFonts w:ascii="Microsoft YaHei UI" w:hAnsi="Microsoft YaHei UI"/>
        </w:rPr>
        <w:t>　　（三）侵权人销售专利产品或者依照专利方法直接获得的产品的，责令其立即停止销售行为，并不得使用尚未售出的侵权产品或者以其他形式将其投放市场；</w:t>
      </w:r>
    </w:p>
    <w:p>
      <w:pPr>
        <w:pStyle w:val="P1"/>
        <w:spacing w:lineRule="exact" w:line="560"/>
        <w:ind w:firstLine="570"/>
        <w:contextualSpacing w:val="1"/>
        <w:rPr>
          <w:rStyle w:val="C3"/>
          <w:rFonts w:ascii="仿宋_GB2312" w:hAnsi="仿宋_GB2312"/>
        </w:rPr>
      </w:pPr>
      <w:r>
        <w:rPr>
          <w:rStyle w:val="C3"/>
          <w:rFonts w:ascii="Microsoft YaHei UI" w:hAnsi="Microsoft YaHei UI"/>
        </w:rPr>
        <w:t>（四）侵权人许诺销售专利产品或者依照专利方法直接获得的产品的，责令其立即停止许诺销售侵权产品的行为、消除影响，并不得进行任何实际销售行为；</w:t>
      </w:r>
    </w:p>
    <w:p>
      <w:pPr>
        <w:pStyle w:val="P1"/>
        <w:spacing w:lineRule="exact" w:line="560"/>
        <w:ind w:firstLine="570"/>
        <w:contextualSpacing w:val="1"/>
        <w:rPr>
          <w:rStyle w:val="C3"/>
          <w:rFonts w:ascii="仿宋_GB2312" w:hAnsi="仿宋_GB2312"/>
        </w:rPr>
      </w:pPr>
      <w:r>
        <w:rPr>
          <w:rStyle w:val="C3"/>
          <w:rFonts w:ascii="Microsoft YaHei UI" w:hAnsi="Microsoft YaHei UI"/>
        </w:rPr>
        <w:t>（五）侵权人进口专利产品或者依照专利方法直接获得的产品，并且已经进入本市的，责令其不得销售、使用该侵权产品或者以其他形式将其投放市场；</w:t>
      </w:r>
    </w:p>
    <w:p>
      <w:pPr>
        <w:pStyle w:val="P1"/>
        <w:spacing w:lineRule="exact" w:line="560"/>
        <w:ind w:firstLine="570"/>
        <w:contextualSpacing w:val="1"/>
        <w:rPr>
          <w:rStyle w:val="C3"/>
          <w:rFonts w:ascii="仿宋_GB2312" w:hAnsi="仿宋_GB2312"/>
        </w:rPr>
      </w:pPr>
      <w:r>
        <w:rPr>
          <w:rStyle w:val="C3"/>
          <w:rFonts w:ascii="Microsoft YaHei UI" w:hAnsi="Microsoft YaHei UI"/>
        </w:rPr>
        <w:t>（六）侵权人以生产经营为目的使用专利侵权产品的，责令其立即停止使用行为；</w:t>
      </w:r>
    </w:p>
    <w:p>
      <w:pPr>
        <w:pStyle w:val="P1"/>
        <w:spacing w:lineRule="exact" w:line="560"/>
        <w:ind w:firstLine="570"/>
        <w:contextualSpacing w:val="1"/>
        <w:rPr>
          <w:rStyle w:val="C3"/>
          <w:rFonts w:ascii="仿宋_GB2312" w:hAnsi="仿宋_GB2312"/>
        </w:rPr>
      </w:pPr>
      <w:r>
        <w:rPr>
          <w:rStyle w:val="C3"/>
          <w:rFonts w:ascii="Microsoft YaHei UI" w:hAnsi="Microsoft YaHei UI"/>
        </w:rPr>
        <w:t>（七）停止侵权行为的其他必要措施。</w:t>
      </w:r>
    </w:p>
    <w:p>
      <w:pPr>
        <w:pStyle w:val="P1"/>
        <w:spacing w:lineRule="exact" w:line="560"/>
        <w:ind w:firstLine="632"/>
        <w:contextualSpacing w:val="1"/>
        <w:rPr>
          <w:rStyle w:val="C3"/>
          <w:rFonts w:ascii="仿宋_GB2312" w:hAnsi="仿宋_GB2312"/>
        </w:rPr>
      </w:pPr>
      <w:r>
        <w:rPr>
          <w:rStyle w:val="C3"/>
          <w:rFonts w:ascii="Microsoft YaHei UI" w:hAnsi="Microsoft YaHei UI"/>
        </w:rPr>
        <w:t>采取前款第一项、第二项、第三项、第五项、第六项措施不能制止侵权行为，或者侵权产品难以保存的，专利行政部门可以责令侵权人销毁或者拆解侵权产品。</w:t>
      </w:r>
    </w:p>
    <w:p>
      <w:pPr>
        <w:pStyle w:val="P1"/>
        <w:spacing w:lineRule="exact" w:line="560"/>
        <w:ind w:firstLine="632"/>
        <w:contextualSpacing w:val="1"/>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专利行政部门处理专利侵权纠纷和查处假冒专利行为，可以行使以下职权：</w:t>
      </w:r>
    </w:p>
    <w:p>
      <w:pPr>
        <w:pStyle w:val="P1"/>
        <w:spacing w:lineRule="exact" w:line="560"/>
        <w:ind w:firstLine="632"/>
        <w:contextualSpacing w:val="1"/>
        <w:rPr>
          <w:rStyle w:val="C3"/>
          <w:rFonts w:ascii="仿宋_GB2312" w:hAnsi="仿宋_GB2312"/>
        </w:rPr>
      </w:pPr>
      <w:r>
        <w:rPr>
          <w:rStyle w:val="C3"/>
          <w:rFonts w:ascii="Microsoft YaHei UI" w:hAnsi="Microsoft YaHei UI"/>
        </w:rPr>
        <w:t>（一）询问当事人、利害关系人和证人；</w:t>
      </w:r>
      <w:r>
        <w:rPr>
          <w:rStyle w:val="C3"/>
          <w:rFonts w:ascii="仿宋_GB2312" w:hAnsi="仿宋_GB2312"/>
        </w:rPr>
        <w:t xml:space="preserve"> </w:t>
      </w:r>
    </w:p>
    <w:p>
      <w:pPr>
        <w:pStyle w:val="P1"/>
        <w:spacing w:lineRule="exact" w:line="560"/>
        <w:ind w:firstLine="632"/>
        <w:contextualSpacing w:val="1"/>
        <w:rPr>
          <w:rStyle w:val="C3"/>
          <w:rFonts w:ascii="仿宋_GB2312" w:hAnsi="仿宋_GB2312"/>
        </w:rPr>
      </w:pPr>
      <w:r>
        <w:rPr>
          <w:rStyle w:val="C3"/>
          <w:rFonts w:ascii="Microsoft YaHei UI" w:hAnsi="Microsoft YaHei UI"/>
        </w:rPr>
        <w:t>（二）查阅、复制与案件有关的档案、合同、图纸、账簿、发票以及其他有关资料；</w:t>
      </w:r>
    </w:p>
    <w:p>
      <w:pPr>
        <w:pStyle w:val="P1"/>
        <w:spacing w:lineRule="exact" w:line="560"/>
        <w:ind w:firstLine="632"/>
        <w:contextualSpacing w:val="1"/>
        <w:rPr>
          <w:rStyle w:val="C3"/>
          <w:rFonts w:ascii="仿宋_GB2312" w:hAnsi="仿宋_GB2312"/>
        </w:rPr>
      </w:pPr>
      <w:r>
        <w:rPr>
          <w:rStyle w:val="C3"/>
          <w:rFonts w:ascii="Microsoft YaHei UI" w:hAnsi="Microsoft YaHei UI"/>
        </w:rPr>
        <w:t>（三）对与案件有关的场所实施现场勘验检查；</w:t>
      </w:r>
    </w:p>
    <w:p>
      <w:pPr>
        <w:pStyle w:val="P1"/>
        <w:spacing w:lineRule="exact" w:line="560"/>
        <w:ind w:firstLine="632"/>
        <w:contextualSpacing w:val="1"/>
        <w:rPr>
          <w:rStyle w:val="C3"/>
          <w:rFonts w:ascii="仿宋_GB2312" w:hAnsi="仿宋_GB2312"/>
        </w:rPr>
      </w:pPr>
      <w:r>
        <w:rPr>
          <w:rStyle w:val="C3"/>
          <w:rFonts w:ascii="Microsoft YaHei UI" w:hAnsi="Microsoft YaHei UI"/>
        </w:rPr>
        <w:t>（四）抽样取证、登记保存与案件有关的物品；</w:t>
      </w:r>
    </w:p>
    <w:p>
      <w:pPr>
        <w:pStyle w:val="P1"/>
        <w:spacing w:lineRule="exact" w:line="560"/>
        <w:ind w:firstLine="632"/>
        <w:contextualSpacing w:val="1"/>
        <w:rPr>
          <w:rStyle w:val="C3"/>
          <w:rFonts w:ascii="仿宋_GB2312" w:hAnsi="仿宋_GB2312"/>
        </w:rPr>
      </w:pPr>
      <w:r>
        <w:rPr>
          <w:rStyle w:val="C3"/>
          <w:rFonts w:ascii="Microsoft YaHei UI" w:hAnsi="Microsoft YaHei UI"/>
        </w:rPr>
        <w:t>（五）对有证据证明是假冒专利的产品，可以查封或者扣押；</w:t>
      </w:r>
    </w:p>
    <w:p>
      <w:pPr>
        <w:pStyle w:val="P1"/>
        <w:spacing w:lineRule="exact" w:line="560"/>
        <w:ind w:firstLine="632"/>
        <w:contextualSpacing w:val="1"/>
        <w:rPr>
          <w:rStyle w:val="C3"/>
          <w:rFonts w:ascii="仿宋_GB2312" w:hAnsi="仿宋_GB2312"/>
        </w:rPr>
      </w:pPr>
      <w:r>
        <w:rPr>
          <w:rStyle w:val="C3"/>
          <w:rFonts w:ascii="Microsoft YaHei UI" w:hAnsi="Microsoft YaHei UI"/>
        </w:rPr>
        <w:t>（六）调查与案件有关的其他情况。</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专利行政部门的工作人员依法行使前款规定的职权时，有关单位和个人应当予以协助、配合，不得拒绝、阻挠。</w:t>
      </w:r>
    </w:p>
    <w:p>
      <w:pPr>
        <w:pStyle w:val="P1"/>
        <w:spacing w:lineRule="exact" w:line="560"/>
        <w:ind w:firstLine="632"/>
        <w:contextualSpacing w:val="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当事人对下列专利纠纷可以申请专利行政部门进行调解，也可直接向人民法院提起诉讼：</w:t>
      </w:r>
    </w:p>
    <w:p>
      <w:pPr>
        <w:pStyle w:val="P1"/>
        <w:spacing w:lineRule="exact" w:line="560"/>
        <w:ind w:firstLine="632"/>
        <w:contextualSpacing w:val="1"/>
        <w:rPr>
          <w:rStyle w:val="C3"/>
          <w:rFonts w:ascii="仿宋_GB2312" w:hAnsi="仿宋_GB2312"/>
        </w:rPr>
      </w:pPr>
      <w:r>
        <w:rPr>
          <w:rStyle w:val="C3"/>
          <w:rFonts w:ascii="Microsoft YaHei UI" w:hAnsi="Microsoft YaHei UI"/>
        </w:rPr>
        <w:t>（一）侵犯专利权的赔偿数额纠纷；</w:t>
      </w:r>
      <w:r>
        <w:rPr>
          <w:rStyle w:val="C3"/>
          <w:rFonts w:ascii="仿宋_GB2312" w:hAnsi="仿宋_GB2312"/>
        </w:rPr>
        <w:t xml:space="preserve"> </w:t>
      </w:r>
    </w:p>
    <w:p>
      <w:pPr>
        <w:pStyle w:val="P1"/>
        <w:spacing w:lineRule="exact" w:line="560"/>
        <w:ind w:firstLine="632"/>
        <w:contextualSpacing w:val="1"/>
        <w:rPr>
          <w:rStyle w:val="C3"/>
          <w:rFonts w:ascii="仿宋_GB2312" w:hAnsi="仿宋_GB2312"/>
        </w:rPr>
      </w:pPr>
      <w:r>
        <w:rPr>
          <w:rStyle w:val="C3"/>
          <w:rFonts w:ascii="Microsoft YaHei UI" w:hAnsi="Microsoft YaHei UI"/>
        </w:rPr>
        <w:t>（二）专利申请权和专利权归属纠纷；</w:t>
      </w:r>
    </w:p>
    <w:p>
      <w:pPr>
        <w:pStyle w:val="P1"/>
        <w:spacing w:lineRule="exact" w:line="560"/>
        <w:ind w:firstLine="632"/>
        <w:contextualSpacing w:val="1"/>
        <w:rPr>
          <w:rStyle w:val="C3"/>
          <w:rFonts w:ascii="仿宋_GB2312" w:hAnsi="仿宋_GB2312"/>
        </w:rPr>
      </w:pPr>
      <w:r>
        <w:rPr>
          <w:rStyle w:val="C3"/>
          <w:rFonts w:ascii="Microsoft YaHei UI" w:hAnsi="Microsoft YaHei UI"/>
        </w:rPr>
        <w:t>（三）发明人、设计人资格纠纷；</w:t>
      </w:r>
    </w:p>
    <w:p>
      <w:pPr>
        <w:pStyle w:val="P1"/>
        <w:spacing w:lineRule="exact" w:line="560"/>
        <w:ind w:firstLine="632"/>
        <w:contextualSpacing w:val="1"/>
        <w:rPr>
          <w:rStyle w:val="C3"/>
          <w:rFonts w:ascii="仿宋_GB2312" w:hAnsi="仿宋_GB2312"/>
        </w:rPr>
      </w:pPr>
      <w:r>
        <w:rPr>
          <w:rStyle w:val="C3"/>
          <w:rFonts w:ascii="Microsoft YaHei UI" w:hAnsi="Microsoft YaHei UI"/>
        </w:rPr>
        <w:t>（四）职务发明创造的发明人、设计人的奖励和报酬纠纷；</w:t>
      </w:r>
    </w:p>
    <w:p>
      <w:pPr>
        <w:pStyle w:val="P1"/>
        <w:spacing w:lineRule="exact" w:line="560"/>
        <w:ind w:firstLine="632"/>
        <w:contextualSpacing w:val="1"/>
        <w:rPr>
          <w:rStyle w:val="C3"/>
          <w:rFonts w:ascii="仿宋_GB2312" w:hAnsi="仿宋_GB2312"/>
        </w:rPr>
      </w:pPr>
      <w:r>
        <w:rPr>
          <w:rStyle w:val="C3"/>
          <w:rFonts w:ascii="Microsoft YaHei UI" w:hAnsi="Microsoft YaHei UI"/>
        </w:rPr>
        <w:t>（五）在发明专利申请公布后专利权授予前使用发明而未支付适当费用的纠纷；</w:t>
      </w:r>
    </w:p>
    <w:p>
      <w:pPr>
        <w:pStyle w:val="P1"/>
        <w:spacing w:lineRule="exact" w:line="560"/>
        <w:ind w:firstLine="632"/>
        <w:contextualSpacing w:val="1"/>
        <w:rPr>
          <w:rStyle w:val="C3"/>
          <w:rFonts w:ascii="仿宋_GB2312" w:hAnsi="仿宋_GB2312"/>
        </w:rPr>
      </w:pPr>
      <w:r>
        <w:rPr>
          <w:rStyle w:val="C3"/>
          <w:rFonts w:ascii="Microsoft YaHei UI" w:hAnsi="Microsoft YaHei UI"/>
        </w:rPr>
        <w:t>（六）其他专利纠纷。</w:t>
      </w:r>
    </w:p>
    <w:p>
      <w:pPr>
        <w:pStyle w:val="P1"/>
        <w:spacing w:lineRule="exact" w:line="560"/>
        <w:ind w:firstLine="632"/>
        <w:contextualSpacing w:val="1"/>
        <w:rPr>
          <w:rStyle w:val="C3"/>
          <w:rFonts w:ascii="仿宋_GB2312" w:hAnsi="仿宋_GB2312"/>
        </w:rPr>
      </w:pPr>
      <w:r>
        <w:rPr>
          <w:rStyle w:val="C3"/>
          <w:rFonts w:ascii="Microsoft YaHei UI" w:hAnsi="Microsoft YaHei UI"/>
        </w:rPr>
        <w:t>对于前款第五项所列的纠纷，当事人请求专利行政部门调解的，应当在专利权被授予之后提出。</w:t>
      </w:r>
    </w:p>
    <w:p>
      <w:pPr>
        <w:pStyle w:val="P16"/>
        <w:spacing w:lineRule="exact" w:line="560" w:after="0"/>
        <w:ind w:firstLine="632" w:left="0"/>
        <w:contextualSpacing w:val="1"/>
        <w:rPr>
          <w:rStyle w:val="C3"/>
          <w:rFonts w:ascii="仿宋_GB2312" w:hAnsi="仿宋_GB2312"/>
          <w:sz w:val="32"/>
        </w:rPr>
      </w:pPr>
      <w:r>
        <w:rPr>
          <w:rStyle w:val="C3"/>
          <w:rFonts w:ascii="Microsoft YaHei UI" w:hAnsi="Microsoft YaHei UI"/>
          <w:sz w:val="32"/>
        </w:rPr>
        <w:t>当事人经调解达成协议的，应当制作调解协议书；调解不成的，当事人可以依法向人民法院提起诉讼。</w:t>
      </w:r>
    </w:p>
    <w:p>
      <w:pPr>
        <w:pStyle w:val="P1"/>
        <w:spacing w:lineRule="exact" w:line="560"/>
        <w:ind w:firstLine="632"/>
        <w:contextualSpacing w:val="1"/>
        <w:rPr>
          <w:rStyle w:val="C3"/>
          <w:rFonts w:ascii="仿宋_GB2312" w:hAnsi="仿宋_GB2312"/>
        </w:rPr>
      </w:pPr>
      <w:r>
        <w:rPr>
          <w:rStyle w:val="C3"/>
          <w:rFonts w:ascii="黑体" w:hAnsi="黑体"/>
        </w:rPr>
        <w:t xml:space="preserve">第三十三条 </w:t>
      </w:r>
      <w:r>
        <w:rPr>
          <w:rStyle w:val="C3"/>
          <w:rFonts w:ascii="仿宋_GB2312" w:hAnsi="仿宋_GB2312"/>
        </w:rPr>
        <w:t xml:space="preserve"> </w:t>
      </w:r>
      <w:r>
        <w:rPr>
          <w:rStyle w:val="C3"/>
          <w:rFonts w:ascii="Microsoft YaHei UI" w:hAnsi="Microsoft YaHei UI"/>
        </w:rPr>
        <w:t>展会管理部门应加强对展览会、展销会、博览会、交易会、展示会等展会期间专利保护的协调、监督、检查。</w:t>
      </w:r>
    </w:p>
    <w:p>
      <w:pPr>
        <w:pStyle w:val="P1"/>
        <w:spacing w:lineRule="exact" w:line="560"/>
        <w:ind w:firstLine="632"/>
        <w:contextualSpacing w:val="1"/>
        <w:rPr>
          <w:rStyle w:val="C3"/>
          <w:rFonts w:ascii="仿宋_GB2312" w:hAnsi="仿宋_GB2312"/>
        </w:rPr>
      </w:pPr>
      <w:r>
        <w:rPr>
          <w:rStyle w:val="C3"/>
          <w:rFonts w:ascii="Microsoft YaHei UI" w:hAnsi="Microsoft YaHei UI"/>
        </w:rPr>
        <w:t>展会组织者应当与参展方在参展协议中约定参展方不得侵犯他人专利权、不得假冒专利。</w:t>
      </w:r>
    </w:p>
    <w:p>
      <w:pPr>
        <w:pStyle w:val="P1"/>
        <w:spacing w:lineRule="exact" w:line="560"/>
        <w:ind w:firstLine="632"/>
        <w:contextualSpacing w:val="1"/>
        <w:rPr>
          <w:rStyle w:val="C3"/>
          <w:rFonts w:ascii="仿宋_GB2312" w:hAnsi="仿宋_GB2312"/>
        </w:rPr>
      </w:pPr>
      <w:r>
        <w:rPr>
          <w:rStyle w:val="C3"/>
          <w:rFonts w:ascii="Microsoft YaHei UI" w:hAnsi="Microsoft YaHei UI"/>
        </w:rPr>
        <w:t>展会组织者对标有专利标记的参展展品或者技术，应当查验其展品的专利权有效证明或者专利许可合同。对未能提供专利权有效证明或者专利许可合同的，不得允许其以专利产品、专利技术的名义参展。</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专利行政部门认定参展方侵犯他人专利权或者假冒专利的，展会组织者应当通知参展方解除参展协议，专利行政部门依法予以处理。</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专利管理</w:t>
      </w:r>
    </w:p>
    <w:p>
      <w:pPr>
        <w:pStyle w:val="P1"/>
        <w:spacing w:lineRule="exact" w:line="560"/>
        <w:contextualSpacing w:val="1"/>
        <w:jc w:val="center"/>
        <w:rPr>
          <w:rStyle w:val="C3"/>
          <w:rFonts w:ascii="仿宋_GB2312" w:hAnsi="仿宋_GB2312"/>
        </w:rPr>
      </w:pPr>
    </w:p>
    <w:p>
      <w:pPr>
        <w:pStyle w:val="P1"/>
        <w:spacing w:lineRule="exact" w:line="560"/>
        <w:ind w:firstLine="632"/>
        <w:contextualSpacing w:val="1"/>
        <w:rPr>
          <w:rStyle w:val="C3"/>
          <w:rFonts w:ascii="仿宋_GB2312" w:hAnsi="仿宋_GB2312"/>
          <w:color w:val="FF0000"/>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市和区、县人民政府应当将专利指标纳入国民经济和社会发展统计范围。</w:t>
      </w:r>
    </w:p>
    <w:p>
      <w:pPr>
        <w:pStyle w:val="P1"/>
        <w:spacing w:lineRule="exact" w:line="560"/>
        <w:ind w:firstLine="632"/>
        <w:contextualSpacing w:val="1"/>
        <w:rPr>
          <w:rStyle w:val="C3"/>
          <w:rFonts w:ascii="仿宋_GB2312" w:hAnsi="仿宋_GB2312"/>
        </w:rPr>
      </w:pPr>
      <w:r>
        <w:rPr>
          <w:rStyle w:val="C3"/>
          <w:rFonts w:ascii="Microsoft YaHei UI" w:hAnsi="Microsoft YaHei UI"/>
        </w:rPr>
        <w:t>科技计划实施评价体系、国有企业绩效考核体系和高等院校、科研机构等事业单位科研绩效考核体系应当包括专利拥有数量、质量以及运用等指标。</w:t>
      </w:r>
    </w:p>
    <w:p>
      <w:pPr>
        <w:pStyle w:val="P1"/>
        <w:spacing w:lineRule="exact" w:line="560"/>
        <w:ind w:firstLine="632"/>
        <w:contextualSpacing w:val="1"/>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市和区、县人民政府应当建立重大经济活动的专利审查制度，避免专利技术的盲目引进、重复研发、流失和侵害他人专利权。</w:t>
      </w:r>
    </w:p>
    <w:p>
      <w:pPr>
        <w:pStyle w:val="P1"/>
        <w:spacing w:lineRule="exact" w:line="560"/>
        <w:ind w:firstLine="632"/>
        <w:contextualSpacing w:val="1"/>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专利行政部门应当加强对企业事业单位专利工作的指导。</w:t>
      </w:r>
    </w:p>
    <w:p>
      <w:pPr>
        <w:pStyle w:val="P1"/>
        <w:spacing w:lineRule="exact" w:line="560"/>
        <w:ind w:firstLine="632"/>
        <w:contextualSpacing w:val="1"/>
        <w:rPr>
          <w:rStyle w:val="C3"/>
          <w:rFonts w:ascii="仿宋_GB2312" w:hAnsi="仿宋_GB2312"/>
        </w:rPr>
      </w:pPr>
      <w:r>
        <w:rPr>
          <w:rStyle w:val="C3"/>
          <w:rFonts w:ascii="Microsoft YaHei UI" w:hAnsi="Microsoft YaHei UI"/>
        </w:rPr>
        <w:t>企业事业单位应当建立和完善专利管理制度，具体落实专利的创造、运用、保护和管理等工作。商业企业应当建立专利商品进货确认制度，防止销售假冒专利的商品。</w:t>
      </w:r>
    </w:p>
    <w:p>
      <w:pPr>
        <w:pStyle w:val="P1"/>
        <w:spacing w:lineRule="exact" w:line="560"/>
        <w:ind w:firstLine="632"/>
        <w:contextualSpacing w:val="1"/>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有关行业协会、商会等组织应当指导和帮助会员申请和实施专利，维护会员自身权益，督促会员尊重他人专利权，为会员提供专利咨询等服务。</w:t>
      </w:r>
    </w:p>
    <w:p>
      <w:pPr>
        <w:pStyle w:val="P1"/>
        <w:spacing w:lineRule="exact" w:line="560"/>
        <w:ind w:firstLine="632"/>
        <w:contextualSpacing w:val="1"/>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专利代理、专利技术交易、专利资产评估、专利信息咨询等专利中介服务机构应当依法设立和运营，其合法权益受法律保护。</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专利中介服务机构及其执业人员应当加强自律，提高执业水平，为委托人提供便捷、优质的服务，不得进行下列行为：</w:t>
      </w:r>
    </w:p>
    <w:p>
      <w:pPr>
        <w:pStyle w:val="P1"/>
        <w:spacing w:lineRule="exact" w:line="560"/>
        <w:ind w:firstLine="632"/>
        <w:contextualSpacing w:val="1"/>
        <w:rPr>
          <w:rStyle w:val="C3"/>
          <w:rFonts w:ascii="仿宋_GB2312" w:hAnsi="仿宋_GB2312"/>
        </w:rPr>
      </w:pPr>
      <w:r>
        <w:rPr>
          <w:rStyle w:val="C3"/>
          <w:rFonts w:ascii="Microsoft YaHei UI" w:hAnsi="Microsoft YaHei UI"/>
        </w:rPr>
        <w:t>（一）以不正当手段招揽业务；</w:t>
      </w:r>
    </w:p>
    <w:p>
      <w:pPr>
        <w:pStyle w:val="P1"/>
        <w:spacing w:lineRule="exact" w:line="560"/>
        <w:ind w:firstLine="632"/>
        <w:contextualSpacing w:val="1"/>
        <w:rPr>
          <w:rStyle w:val="C3"/>
          <w:rFonts w:ascii="仿宋_GB2312" w:hAnsi="仿宋_GB2312"/>
        </w:rPr>
      </w:pPr>
      <w:r>
        <w:rPr>
          <w:rStyle w:val="C3"/>
          <w:rFonts w:ascii="Microsoft YaHei UI" w:hAnsi="Microsoft YaHei UI"/>
        </w:rPr>
        <w:t>（二）出具虚假报告；</w:t>
      </w:r>
    </w:p>
    <w:p>
      <w:pPr>
        <w:pStyle w:val="P1"/>
        <w:spacing w:lineRule="exact" w:line="560"/>
        <w:ind w:firstLine="632"/>
        <w:contextualSpacing w:val="1"/>
        <w:rPr>
          <w:rStyle w:val="C3"/>
          <w:rFonts w:ascii="仿宋_GB2312" w:hAnsi="仿宋_GB2312"/>
        </w:rPr>
      </w:pPr>
      <w:r>
        <w:rPr>
          <w:rStyle w:val="C3"/>
          <w:rFonts w:ascii="Microsoft YaHei UI" w:hAnsi="Microsoft YaHei UI"/>
        </w:rPr>
        <w:t>（三）与当事人串通牟取不正当利益；</w:t>
      </w:r>
    </w:p>
    <w:p>
      <w:pPr>
        <w:pStyle w:val="P1"/>
        <w:spacing w:lineRule="exact" w:line="560"/>
        <w:ind w:firstLine="632"/>
        <w:contextualSpacing w:val="1"/>
        <w:rPr>
          <w:rStyle w:val="C3"/>
          <w:rFonts w:ascii="仿宋_GB2312" w:hAnsi="仿宋_GB2312"/>
        </w:rPr>
      </w:pPr>
      <w:r>
        <w:rPr>
          <w:rStyle w:val="C3"/>
          <w:rFonts w:ascii="Microsoft YaHei UI" w:hAnsi="Microsoft YaHei UI"/>
        </w:rPr>
        <w:t>（四）损害专利权人、其他当事人的合法权益和社会公共利益。</w:t>
      </w:r>
    </w:p>
    <w:p>
      <w:pPr>
        <w:pStyle w:val="P1"/>
        <w:spacing w:lineRule="exact" w:line="560"/>
        <w:ind w:firstLine="632"/>
        <w:contextualSpacing w:val="1"/>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占有专利资产的国有单位发生合并、分立、上市、改制、清算、投资、转让、置换、拍卖、偿还债务等经济行为涉及专利资产作价的，应当按照国家规定进行专利资产评估。</w:t>
      </w:r>
    </w:p>
    <w:p>
      <w:pPr>
        <w:pStyle w:val="P1"/>
        <w:spacing w:lineRule="exact" w:line="560"/>
        <w:ind w:firstLine="632"/>
        <w:contextualSpacing w:val="1"/>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有下列情况之一的，有关单位或者个人应当提供专利权有效证明：</w:t>
      </w:r>
    </w:p>
    <w:p>
      <w:pPr>
        <w:pStyle w:val="P1"/>
        <w:spacing w:lineRule="exact" w:line="560"/>
        <w:ind w:firstLine="632"/>
        <w:contextualSpacing w:val="1"/>
        <w:rPr>
          <w:rStyle w:val="C3"/>
          <w:rFonts w:ascii="仿宋_GB2312" w:hAnsi="仿宋_GB2312"/>
        </w:rPr>
      </w:pPr>
      <w:r>
        <w:rPr>
          <w:rStyle w:val="C3"/>
          <w:rFonts w:ascii="Microsoft YaHei UI" w:hAnsi="Microsoft YaHei UI"/>
        </w:rPr>
        <w:t>（一）以专利产品或者专利技术为主要项目内容，申请政府财政资金支持或者政府奖励的；</w:t>
      </w:r>
    </w:p>
    <w:p>
      <w:pPr>
        <w:pStyle w:val="P1"/>
        <w:spacing w:lineRule="exact" w:line="560"/>
        <w:ind w:firstLine="632"/>
        <w:contextualSpacing w:val="1"/>
        <w:rPr>
          <w:rStyle w:val="C3"/>
          <w:rFonts w:ascii="仿宋_GB2312" w:hAnsi="仿宋_GB2312"/>
        </w:rPr>
      </w:pPr>
      <w:r>
        <w:rPr>
          <w:rStyle w:val="C3"/>
          <w:rFonts w:ascii="Microsoft YaHei UI" w:hAnsi="Microsoft YaHei UI"/>
        </w:rPr>
        <w:t>（二）在展览会、推广会、交易会等展会活动中，参展方在产品、展板或者宣传资料上标注专利标记的；</w:t>
      </w:r>
    </w:p>
    <w:p>
      <w:pPr>
        <w:pStyle w:val="P1"/>
        <w:spacing w:lineRule="exact" w:line="560"/>
        <w:ind w:firstLine="632"/>
        <w:contextualSpacing w:val="1"/>
        <w:rPr>
          <w:rStyle w:val="C3"/>
          <w:rFonts w:ascii="仿宋_GB2312" w:hAnsi="仿宋_GB2312"/>
        </w:rPr>
      </w:pPr>
      <w:r>
        <w:rPr>
          <w:rStyle w:val="C3"/>
          <w:rFonts w:ascii="Microsoft YaHei UI" w:hAnsi="Microsoft YaHei UI"/>
        </w:rPr>
        <w:t>（三）组织标注专利标记的商品进入商场、超市等市场流通领域销售的；</w:t>
      </w:r>
    </w:p>
    <w:p>
      <w:pPr>
        <w:pStyle w:val="P1"/>
        <w:spacing w:lineRule="exact" w:line="560"/>
        <w:ind w:firstLine="632"/>
        <w:contextualSpacing w:val="1"/>
        <w:rPr>
          <w:rStyle w:val="C3"/>
          <w:rFonts w:ascii="仿宋_GB2312" w:hAnsi="仿宋_GB2312"/>
        </w:rPr>
      </w:pPr>
      <w:r>
        <w:rPr>
          <w:rStyle w:val="C3"/>
          <w:rFonts w:ascii="Microsoft YaHei UI" w:hAnsi="Microsoft YaHei UI"/>
        </w:rPr>
        <w:t>（四）委托有关单位或者个人设计、制作、发布广告，内容标注专利标记的；</w:t>
      </w:r>
    </w:p>
    <w:p>
      <w:pPr>
        <w:pStyle w:val="P1"/>
        <w:spacing w:lineRule="exact" w:line="560"/>
        <w:ind w:firstLine="632"/>
        <w:contextualSpacing w:val="1"/>
        <w:rPr>
          <w:rStyle w:val="C3"/>
          <w:rFonts w:ascii="仿宋_GB2312" w:hAnsi="仿宋_GB2312"/>
        </w:rPr>
      </w:pPr>
      <w:r>
        <w:rPr>
          <w:rStyle w:val="C3"/>
          <w:rFonts w:ascii="Microsoft YaHei UI" w:hAnsi="Microsoft YaHei UI"/>
        </w:rPr>
        <w:t>（五）进行专利资产评估的；</w:t>
      </w:r>
    </w:p>
    <w:p>
      <w:pPr>
        <w:pStyle w:val="P1"/>
        <w:spacing w:lineRule="exact" w:line="560"/>
        <w:ind w:firstLine="632"/>
        <w:contextualSpacing w:val="1"/>
        <w:rPr>
          <w:rStyle w:val="C3"/>
          <w:rFonts w:ascii="仿宋_GB2312" w:hAnsi="仿宋_GB2312"/>
        </w:rPr>
      </w:pPr>
      <w:r>
        <w:rPr>
          <w:rStyle w:val="C3"/>
          <w:rFonts w:ascii="Microsoft YaHei UI" w:hAnsi="Microsoft YaHei UI"/>
        </w:rPr>
        <w:t>（六）办理专利权质押的；</w:t>
      </w:r>
    </w:p>
    <w:p>
      <w:pPr>
        <w:pStyle w:val="P1"/>
        <w:spacing w:lineRule="exact" w:line="560"/>
        <w:ind w:firstLine="632"/>
        <w:contextualSpacing w:val="1"/>
        <w:rPr>
          <w:rStyle w:val="C3"/>
          <w:rFonts w:ascii="仿宋_GB2312" w:hAnsi="仿宋_GB2312"/>
        </w:rPr>
      </w:pPr>
      <w:r>
        <w:rPr>
          <w:rStyle w:val="C3"/>
          <w:rFonts w:ascii="Microsoft YaHei UI" w:hAnsi="Microsoft YaHei UI"/>
        </w:rPr>
        <w:t>（七）请求海关保护专利产品进出口的；</w:t>
      </w:r>
    </w:p>
    <w:p>
      <w:pPr>
        <w:pStyle w:val="P1"/>
        <w:spacing w:lineRule="exact" w:line="560"/>
        <w:ind w:firstLine="632"/>
        <w:contextualSpacing w:val="1"/>
        <w:rPr>
          <w:rStyle w:val="C3"/>
          <w:rFonts w:ascii="仿宋_GB2312" w:hAnsi="仿宋_GB2312"/>
        </w:rPr>
      </w:pPr>
      <w:r>
        <w:rPr>
          <w:rStyle w:val="C3"/>
          <w:rFonts w:ascii="Microsoft YaHei UI" w:hAnsi="Microsoft YaHei UI"/>
        </w:rPr>
        <w:t>（八）其他需要确认专利权权属和专利权法律状态的。</w:t>
      </w:r>
    </w:p>
    <w:p>
      <w:pPr>
        <w:pStyle w:val="P1"/>
        <w:spacing w:lineRule="exact" w:line="560"/>
        <w:ind w:firstLine="632"/>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保障措施</w:t>
      </w:r>
    </w:p>
    <w:p>
      <w:pPr>
        <w:pStyle w:val="P1"/>
        <w:spacing w:lineRule="exact" w:line="560"/>
        <w:ind w:firstLine="632"/>
        <w:contextualSpacing w:val="1"/>
        <w:jc w:val="center"/>
        <w:rPr>
          <w:rStyle w:val="C3"/>
          <w:rFonts w:ascii="仿宋_GB2312" w:hAnsi="仿宋_GB2312"/>
        </w:rPr>
      </w:pPr>
    </w:p>
    <w:p>
      <w:pPr>
        <w:pStyle w:val="P1"/>
        <w:spacing w:lineRule="exact" w:line="560"/>
        <w:ind w:firstLine="632"/>
        <w:contextualSpacing w:val="1"/>
        <w:rPr>
          <w:rStyle w:val="C3"/>
          <w:rFonts w:ascii="仿宋_GB2312" w:hAnsi="仿宋_GB2312"/>
          <w:color w:val="000000"/>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市和区县人民政府设立的</w:t>
      </w:r>
      <w:r>
        <w:rPr>
          <w:rStyle w:val="C3"/>
          <w:rFonts w:ascii="Microsoft YaHei UI" w:hAnsi="Microsoft YaHei UI"/>
          <w:color w:val="000000"/>
        </w:rPr>
        <w:t>专利专项资金，应当用于资助或者奖励专利申请、促进专利实施、援助专利维权、建设公共信息平台等事项。</w:t>
      </w:r>
    </w:p>
    <w:p>
      <w:pPr>
        <w:pStyle w:val="P1"/>
        <w:spacing w:lineRule="exact" w:line="560"/>
        <w:ind w:firstLine="632"/>
        <w:contextualSpacing w:val="1"/>
        <w:rPr>
          <w:rStyle w:val="C3"/>
          <w:rFonts w:ascii="仿宋_GB2312" w:hAnsi="仿宋_GB2312"/>
        </w:rPr>
      </w:pPr>
      <w:r>
        <w:rPr>
          <w:rStyle w:val="C3"/>
          <w:rFonts w:ascii="Microsoft YaHei UI" w:hAnsi="Microsoft YaHei UI"/>
        </w:rPr>
        <w:t>专利专项资金应当专款专用，具体使用管理办法由市和区、县财政部门会同同级专利行政部门制定。</w:t>
      </w:r>
    </w:p>
    <w:p>
      <w:pPr>
        <w:pStyle w:val="P1"/>
        <w:spacing w:lineRule="exact" w:line="560"/>
        <w:ind w:firstLine="632"/>
        <w:contextualSpacing w:val="1"/>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专利行政部门及政府其他有关部门应当建设专利信息平台，建立专利信息服务网络和重点行业、产业专利数据库，促进专利信息的传播、共享、开发和利用。</w:t>
      </w:r>
    </w:p>
    <w:p>
      <w:pPr>
        <w:pStyle w:val="P1"/>
        <w:spacing w:lineRule="exact" w:line="560"/>
        <w:ind w:firstLine="620"/>
        <w:contextualSpacing w:val="1"/>
        <w:rPr>
          <w:rStyle w:val="C3"/>
          <w:rFonts w:ascii="仿宋_GB2312" w:hAnsi="仿宋_GB2312"/>
        </w:rPr>
      </w:pPr>
      <w:r>
        <w:rPr>
          <w:rStyle w:val="C3"/>
          <w:rFonts w:ascii="Microsoft YaHei UI" w:hAnsi="Microsoft YaHei UI"/>
        </w:rPr>
        <w:t>企业事业单位、其他组织和个人可以通过捐资、出资、合作等方式参与公益性和增值性专利信息的开发和服务，并依照国家有关规定享受优惠政策。</w:t>
      </w:r>
    </w:p>
    <w:p>
      <w:pPr>
        <w:pStyle w:val="P1"/>
        <w:spacing w:lineRule="exact" w:line="560"/>
        <w:ind w:firstLine="632"/>
        <w:contextualSpacing w:val="1"/>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专利行政部门指导、推动政府其他有关部门和行业组织开展专利预警，监测本市重点行业、重点企业和重点技术领域的国内外专利状况，制定应急预案，为经济发展服务。</w:t>
      </w:r>
    </w:p>
    <w:p>
      <w:pPr>
        <w:pStyle w:val="P1"/>
        <w:spacing w:lineRule="exact" w:line="560"/>
        <w:ind w:firstLine="632"/>
        <w:contextualSpacing w:val="1"/>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专利行政部门建立专利维权援助机制，为企业事业单位和个人依法开展专利维权提供服务。</w:t>
      </w:r>
    </w:p>
    <w:p>
      <w:pPr>
        <w:pStyle w:val="P1"/>
        <w:spacing w:lineRule="exact" w:line="560"/>
        <w:ind w:firstLine="632"/>
        <w:contextualSpacing w:val="1"/>
        <w:rPr>
          <w:rStyle w:val="C3"/>
          <w:rFonts w:ascii="仿宋_GB2312" w:hAnsi="仿宋_GB2312"/>
        </w:rPr>
      </w:pPr>
      <w:r>
        <w:rPr>
          <w:rStyle w:val="C3"/>
          <w:rFonts w:ascii="黑体" w:hAnsi="黑体"/>
        </w:rPr>
        <w:t xml:space="preserve">第四十五条  </w:t>
      </w:r>
      <w:r>
        <w:rPr>
          <w:rStyle w:val="C3"/>
          <w:rFonts w:ascii="Microsoft YaHei UI" w:hAnsi="Microsoft YaHei UI"/>
        </w:rPr>
        <w:t>市和区、县人民政府及其有关部门应当加强专利知识的宣传和普及，把专利法律、法规的宣传教育纳入法制宣传教育计划和中小学地方课程，支持高等学校开设知识产权课程。</w:t>
      </w:r>
    </w:p>
    <w:p>
      <w:pPr>
        <w:pStyle w:val="P1"/>
        <w:spacing w:lineRule="exact" w:line="560"/>
        <w:ind w:firstLine="632"/>
        <w:contextualSpacing w:val="1"/>
        <w:rPr>
          <w:rStyle w:val="C3"/>
          <w:rFonts w:ascii="仿宋_GB2312" w:hAnsi="仿宋_GB2312"/>
        </w:rPr>
      </w:pPr>
      <w:r>
        <w:rPr>
          <w:rStyle w:val="C3"/>
          <w:rFonts w:ascii="Microsoft YaHei UI" w:hAnsi="Microsoft YaHei UI"/>
        </w:rPr>
        <w:t>新闻等大众传播媒体应当积极开展专利知识和专利法律、法规的宣传。</w:t>
      </w:r>
    </w:p>
    <w:p>
      <w:pPr>
        <w:pStyle w:val="P1"/>
        <w:spacing w:lineRule="exact" w:line="560"/>
        <w:ind w:firstLine="632"/>
        <w:contextualSpacing w:val="1"/>
        <w:rPr>
          <w:rStyle w:val="C3"/>
          <w:rFonts w:ascii="仿宋_GB2312" w:hAnsi="仿宋_GB2312"/>
        </w:rPr>
      </w:pPr>
      <w:r>
        <w:rPr>
          <w:rStyle w:val="C3"/>
          <w:rFonts w:ascii="Microsoft YaHei UI" w:hAnsi="Microsoft YaHei UI"/>
        </w:rPr>
        <w:t>鼓励企业事业单位、其他组织和个人支持和参与专利知识的宣传和普及工作。</w:t>
      </w:r>
    </w:p>
    <w:p>
      <w:pPr>
        <w:pStyle w:val="P1"/>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市和区、县人民政府及其有关部门应当加强专利的培训工作，建立知识产权培训体系和培训基地，支持有条件的高等学校设立知识产权专业，鼓励开展专利人才培养的对外合作，支持引进和聘用国内外高层次专利人才。</w:t>
      </w:r>
    </w:p>
    <w:p>
      <w:pPr>
        <w:pStyle w:val="P1"/>
        <w:spacing w:lineRule="exact" w:line="560"/>
        <w:ind w:firstLine="632"/>
        <w:contextualSpacing w:val="1"/>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评定专业技术人员职称，应当将专利发明人、设计人的相关专利作为评审的依据之一。</w:t>
      </w:r>
    </w:p>
    <w:p>
      <w:pPr>
        <w:pStyle w:val="P1"/>
        <w:spacing w:lineRule="exact" w:line="560"/>
        <w:ind w:firstLine="632"/>
        <w:contextualSpacing w:val="1"/>
        <w:rPr>
          <w:rStyle w:val="C3"/>
          <w:rFonts w:ascii="仿宋_GB2312" w:hAnsi="仿宋_GB2312"/>
        </w:rPr>
      </w:pPr>
      <w:r>
        <w:rPr>
          <w:rStyle w:val="C3"/>
          <w:rFonts w:ascii="Microsoft YaHei UI" w:hAnsi="Microsoft YaHei UI"/>
        </w:rPr>
        <w:t>对技术进步能够产生重大作用或者取得显著经济效益的专利，可以作为发明人、设计人破格申报专业技术职称的依据。获得中国专利金奖、优秀奖以及市专利金奖、优秀奖的主要发明人、设计人，可以破格申报相关专业技术职称。</w:t>
      </w:r>
    </w:p>
    <w:p>
      <w:pPr>
        <w:pStyle w:val="P1"/>
        <w:spacing w:lineRule="exact" w:line="560"/>
        <w:ind w:firstLine="632"/>
        <w:contextualSpacing w:val="1"/>
        <w:rPr>
          <w:rStyle w:val="C3"/>
          <w:rFonts w:ascii="仿宋_GB2312" w:hAnsi="仿宋_GB2312"/>
        </w:rPr>
      </w:pPr>
      <w:r>
        <w:rPr>
          <w:rStyle w:val="C3"/>
          <w:rFonts w:ascii="Microsoft YaHei UI" w:hAnsi="Microsoft YaHei UI"/>
        </w:rPr>
        <w:t>市人力社保部门会同市专利行政部门对企业事业单位从事专利管理工作的人员进行职称评定。</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法律责任</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假冒专利的，由专利行政部门依照《中华人民共和国专利法》第六十三条规定处罚，并采取下列改正措施：</w:t>
      </w:r>
    </w:p>
    <w:p>
      <w:pPr>
        <w:pStyle w:val="P1"/>
        <w:spacing w:lineRule="exact" w:line="560"/>
        <w:ind w:firstLine="632"/>
        <w:contextualSpacing w:val="1"/>
        <w:rPr>
          <w:rStyle w:val="C3"/>
          <w:rFonts w:ascii="仿宋_GB2312" w:hAnsi="仿宋_GB2312"/>
        </w:rPr>
      </w:pPr>
      <w:r>
        <w:rPr>
          <w:rStyle w:val="C3"/>
          <w:rFonts w:ascii="Microsoft YaHei UI" w:hAnsi="Microsoft YaHei UI"/>
        </w:rPr>
        <w:t>（一）在未被授予专利权的产品或者其包装上标注专利标识，专利权被宣告无效后或者终止后继续在产品或者其包装上标注专利标识，或者未经许可在产品或者产品包装上标注他人的专利号的，责令上述制造、销售的行为人立即消除该专利标记和专利号；专利标记和专利号与产品难以分离的，责令行为人销毁该产品。</w:t>
      </w:r>
    </w:p>
    <w:p>
      <w:pPr>
        <w:pStyle w:val="P1"/>
        <w:spacing w:lineRule="exact" w:line="560"/>
        <w:ind w:firstLine="632"/>
        <w:contextualSpacing w:val="1"/>
        <w:rPr>
          <w:rStyle w:val="C3"/>
          <w:rFonts w:ascii="仿宋_GB2312" w:hAnsi="仿宋_GB2312"/>
        </w:rPr>
      </w:pPr>
      <w:r>
        <w:rPr>
          <w:rStyle w:val="C3"/>
          <w:rFonts w:ascii="Microsoft YaHei UI" w:hAnsi="Microsoft YaHei UI"/>
        </w:rPr>
        <w:t>（二）在产品说明书等材料中将未被授予专利权的技术或者设计称为专利技术或者专利设计，将专利申请称为专利，或者未经许可使用他人的专利号，使公众将所涉及的技术或者设计误认为是专利技术或者专利设计的，责令行为人立即停止散发产品说明书等材料，消除影响，并销毁尚未发出的产品说明书等材料。</w:t>
      </w:r>
    </w:p>
    <w:p>
      <w:pPr>
        <w:pStyle w:val="P1"/>
        <w:spacing w:lineRule="exact" w:line="560"/>
        <w:ind w:firstLine="632"/>
        <w:contextualSpacing w:val="1"/>
        <w:rPr>
          <w:rStyle w:val="C3"/>
          <w:rFonts w:ascii="仿宋_GB2312" w:hAnsi="仿宋_GB2312"/>
        </w:rPr>
      </w:pPr>
      <w:r>
        <w:rPr>
          <w:rStyle w:val="C3"/>
          <w:rFonts w:ascii="Microsoft YaHei UI" w:hAnsi="Microsoft YaHei UI"/>
        </w:rPr>
        <w:t>（三）伪造或者变造专利证书、专利文件或者专利申请文件的，责令行为人立即停止上述行为，销毁伪造或者变造的专利证书、专利文件或者专利申请文件。</w:t>
      </w:r>
    </w:p>
    <w:p>
      <w:pPr>
        <w:pStyle w:val="P1"/>
        <w:spacing w:lineRule="exact" w:line="560"/>
        <w:ind w:firstLine="632"/>
        <w:contextualSpacing w:val="1"/>
        <w:rPr>
          <w:rStyle w:val="C3"/>
          <w:rFonts w:ascii="仿宋_GB2312" w:hAnsi="仿宋_GB2312"/>
        </w:rPr>
      </w:pPr>
      <w:r>
        <w:rPr>
          <w:rStyle w:val="C3"/>
          <w:rFonts w:ascii="Microsoft YaHei UI" w:hAnsi="Microsoft YaHei UI"/>
        </w:rPr>
        <w:t>（四）其他必要的改正措施。</w:t>
      </w:r>
    </w:p>
    <w:p>
      <w:pPr>
        <w:pStyle w:val="P1"/>
        <w:spacing w:lineRule="exact" w:line="560"/>
        <w:ind w:firstLine="632"/>
        <w:contextualSpacing w:val="1"/>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为明知假冒专利的行为提供便利条件的，由专利行政部门责令改正，可以处二千元以上二万元以下罚款；情节严重的，处二万元以上五万元以下罚款。</w:t>
      </w:r>
    </w:p>
    <w:p>
      <w:pPr>
        <w:pStyle w:val="P1"/>
        <w:spacing w:lineRule="exact" w:line="560"/>
        <w:ind w:firstLine="632"/>
        <w:contextualSpacing w:val="1"/>
        <w:rPr>
          <w:rStyle w:val="C3"/>
          <w:rFonts w:ascii="仿宋_GB2312" w:hAnsi="仿宋_GB2312"/>
        </w:rPr>
      </w:pPr>
      <w:r>
        <w:rPr>
          <w:rStyle w:val="C3"/>
          <w:rFonts w:ascii="Microsoft YaHei UI" w:hAnsi="Microsoft YaHei UI"/>
        </w:rPr>
        <w:t>为假冒专利制作、发布广告的，按照《中华人民共和国广告法》的有关规定处罚。</w:t>
      </w:r>
    </w:p>
    <w:p>
      <w:pPr>
        <w:pStyle w:val="P1"/>
        <w:spacing w:lineRule="exact" w:line="560"/>
        <w:ind w:firstLine="632"/>
        <w:contextualSpacing w:val="1"/>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专利侵权纠纷的行政处理决定生效后，侵权人再次侵犯同一专利权，扰乱专利管理秩序的，由专利行政部门责令改正，可以处一万元以上十万元以下罚款。有违法所得的，没收违法所得。</w:t>
      </w:r>
    </w:p>
    <w:p>
      <w:pPr>
        <w:pStyle w:val="P1"/>
        <w:spacing w:lineRule="exact" w:line="560"/>
        <w:ind w:firstLine="620"/>
        <w:contextualSpacing w:val="1"/>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从事专利服务的中介机构及其工作人员出具虚假报告、牟取不正当利益的，由专利行政部门依法给予警告；有违法所得的，没收违法所得；情节严重的，由发证机关依法吊销相关证照。给当事人造成损失的，依法承担赔偿责任。</w:t>
      </w:r>
    </w:p>
    <w:p>
      <w:pPr>
        <w:pStyle w:val="P1"/>
        <w:spacing w:lineRule="exact" w:line="560"/>
        <w:ind w:firstLine="632"/>
        <w:contextualSpacing w:val="1"/>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拒绝、阻碍专利行政执法人员依法执行职务，违反治安管理规定的，由公安机关给予治安管理处罚；构成犯罪的，依法追究刑事责任。</w:t>
      </w:r>
    </w:p>
    <w:p>
      <w:pPr>
        <w:pStyle w:val="P1"/>
        <w:spacing w:lineRule="exact" w:line="560"/>
        <w:ind w:firstLine="620"/>
        <w:contextualSpacing w:val="1"/>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从事专利管理工作的国家工作人员以及其他国家工作人员在专利工作中玩忽职守、滥用职权、徇私舞弊的，依法给予处分；构成犯罪的，依法追究刑事责任。</w:t>
      </w:r>
    </w:p>
    <w:p>
      <w:pPr>
        <w:pStyle w:val="P1"/>
        <w:spacing w:lineRule="exact" w:line="56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第八章  附则</w:t>
      </w:r>
    </w:p>
    <w:p>
      <w:pPr>
        <w:pStyle w:val="P1"/>
        <w:spacing w:lineRule="exact" w:line="560"/>
        <w:contextualSpacing w:val="1"/>
        <w:jc w:val="center"/>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2005</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17</w:t>
      </w:r>
      <w:r>
        <w:rPr>
          <w:rStyle w:val="C3"/>
          <w:rFonts w:ascii="Microsoft YaHei UI" w:hAnsi="Microsoft YaHei UI"/>
        </w:rPr>
        <w:t>日发布的《天津市专利保护和管理办法》（市人民政府令第</w:t>
      </w:r>
      <w:r>
        <w:rPr>
          <w:rStyle w:val="C3"/>
          <w:rFonts w:ascii="仿宋_GB2312" w:hAnsi="仿宋_GB2312"/>
        </w:rPr>
        <w:t>95</w:t>
      </w:r>
      <w:r>
        <w:rPr>
          <w:rStyle w:val="C3"/>
          <w:rFonts w:ascii="Microsoft YaHei UI" w:hAnsi="Microsoft YaHei UI"/>
        </w:rPr>
        <w:t>号）同时废止。</w:t>
      </w:r>
    </w:p>
    <w:p>
      <w:pPr>
        <w:pStyle w:val="P1"/>
        <w:spacing w:lineRule="exact" w:line="560"/>
        <w:ind w:firstLine="285"/>
        <w:contextualSpacing w:val="1"/>
        <w:rPr>
          <w:rStyle w:val="C3"/>
          <w:rFonts w:ascii="Adobe 仿宋 Std R" w:hAnsi="Adobe 仿宋 Std R"/>
          <w:color w:val="614E4E"/>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msonormalcxspmiddle"/>
    <w:basedOn w:val="P1"/>
    <w:next w:val="P3"/>
    <w:pPr>
      <w:widowControl w:val="1"/>
      <w:spacing w:before="100" w:after="100" w:beforeAutospacing="1" w:afterAutospacing="1"/>
      <w:jc w:val="left"/>
    </w:pPr>
    <w:rPr>
      <w:rFonts w:ascii="宋体" w:hAnsi="宋体"/>
      <w:sz w:val="24"/>
    </w:rPr>
  </w:style>
  <w:style w:type="paragraph" w:styleId="P4">
    <w:name w:val="msonormalcxspmiddlecxspmiddlecxspmiddle"/>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18"/>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4"/>
    <w:pPr/>
    <w:rPr>
      <w:sz w:val="18"/>
    </w:rPr>
  </w:style>
  <w:style w:type="paragraph" w:styleId="P7">
    <w:name w:val="msonormalcxspmiddlecxspmiddlecxsplast"/>
    <w:basedOn w:val="P1"/>
    <w:next w:val="P7"/>
    <w:pPr>
      <w:widowControl w:val="1"/>
      <w:spacing w:before="100" w:after="100" w:beforeAutospacing="1" w:afterAutospacing="1"/>
      <w:jc w:val="left"/>
    </w:pPr>
    <w:rPr>
      <w:rFonts w:ascii="宋体" w:hAnsi="宋体"/>
      <w:sz w:val="24"/>
    </w:rPr>
  </w:style>
  <w:style w:type="paragraph" w:styleId="P8">
    <w:name w:val="普通(网站)"/>
    <w:basedOn w:val="P1"/>
    <w:next w:val="P8"/>
    <w:link w:val="C25"/>
    <w:pPr>
      <w:widowControl w:val="1"/>
      <w:spacing w:before="100" w:after="100" w:beforeAutospacing="1" w:afterAutospacing="1"/>
      <w:jc w:val="left"/>
    </w:pPr>
    <w:rPr>
      <w:rFonts w:ascii="宋体" w:hAnsi="宋体"/>
      <w:sz w:val="24"/>
    </w:rPr>
  </w:style>
  <w:style w:type="paragraph" w:styleId="P9">
    <w:name w:val="正文文本缩进 2"/>
    <w:basedOn w:val="P1"/>
    <w:next w:val="P9"/>
    <w:link w:val="C24"/>
    <w:pPr>
      <w:spacing w:lineRule="auto" w:line="480" w:after="120"/>
      <w:ind w:left="420"/>
    </w:pPr>
    <w:rPr/>
  </w:style>
  <w:style w:type="paragraph" w:styleId="P10">
    <w:name w:val="日期"/>
    <w:basedOn w:val="P1"/>
    <w:next w:val="P1"/>
    <w:pPr>
      <w:ind w:left="100"/>
    </w:pPr>
    <w:rPr>
      <w:rFonts w:ascii="仿宋_GB2312" w:hAnsi="仿宋_GB2312"/>
    </w:rPr>
  </w:style>
  <w:style w:type="paragraph" w:styleId="P11">
    <w:name w:val="msonormalcxspmiddlecxspmiddlecxspmiddlecxsplast"/>
    <w:basedOn w:val="P1"/>
    <w:next w:val="P11"/>
    <w:pPr>
      <w:widowControl w:val="1"/>
      <w:spacing w:before="100" w:after="100" w:beforeAutospacing="1" w:afterAutospacing="1"/>
      <w:jc w:val="left"/>
    </w:pPr>
    <w:rPr>
      <w:rFonts w:ascii="宋体" w:hAnsi="宋体"/>
      <w:sz w:val="24"/>
    </w:rPr>
  </w:style>
  <w:style w:type="paragraph" w:styleId="P12">
    <w:name w:val="zhang"/>
    <w:basedOn w:val="P1"/>
    <w:next w:val="P12"/>
    <w:pPr>
      <w:widowControl w:val="1"/>
      <w:spacing w:before="100" w:after="100" w:beforeAutospacing="1" w:afterAutospacing="1"/>
      <w:jc w:val="left"/>
    </w:pPr>
    <w:rPr>
      <w:rFonts w:ascii="宋体" w:hAnsi="宋体"/>
      <w:b w:val="1"/>
      <w:color w:val="000000"/>
      <w:sz w:val="20"/>
    </w:rPr>
  </w:style>
  <w:style w:type="paragraph" w:styleId="P13">
    <w:name w:val="msonormalcxsplast"/>
    <w:basedOn w:val="P1"/>
    <w:next w:val="P13"/>
    <w:pPr>
      <w:widowControl w:val="1"/>
      <w:spacing w:before="100" w:after="100" w:beforeAutospacing="1" w:afterAutospacing="1"/>
      <w:jc w:val="left"/>
    </w:pPr>
    <w:rPr>
      <w:rFonts w:ascii="宋体" w:hAnsi="宋体"/>
      <w:sz w:val="24"/>
    </w:rPr>
  </w:style>
  <w:style w:type="paragraph" w:styleId="P14">
    <w:name w:val="_Style 10"/>
    <w:basedOn w:val="P1"/>
    <w:next w:val="P8"/>
    <w:pPr>
      <w:widowControl w:val="1"/>
      <w:spacing w:before="100" w:after="100" w:beforeAutospacing="1" w:afterAutospacing="1"/>
      <w:jc w:val="left"/>
    </w:pPr>
    <w:rPr>
      <w:rFonts w:ascii="Arial Unicode MS" w:hAnsi="Arial Unicode MS"/>
      <w:sz w:val="24"/>
    </w:rPr>
  </w:style>
  <w:style w:type="paragraph" w:styleId="P15">
    <w:name w:val="页眉"/>
    <w:basedOn w:val="P1"/>
    <w:next w:val="P15"/>
    <w:link w:val="C31"/>
    <w:pPr>
      <w:pBdr>
        <w:bottom w:val="single" w:sz="6" w:space="0" w:shadow="0" w:frame="0"/>
      </w:pBdr>
      <w:tabs>
        <w:tab w:val="center" w:pos="4153" w:leader="none"/>
        <w:tab w:val="right" w:pos="8306" w:leader="none"/>
      </w:tabs>
      <w:jc w:val="center"/>
    </w:pPr>
    <w:rPr>
      <w:sz w:val="18"/>
    </w:rPr>
  </w:style>
  <w:style w:type="paragraph" w:styleId="P16">
    <w:name w:val="正文文本缩进 3"/>
    <w:basedOn w:val="P1"/>
    <w:next w:val="P16"/>
    <w:link w:val="C30"/>
    <w:pPr>
      <w:spacing w:after="120"/>
      <w:ind w:left="420"/>
    </w:pPr>
    <w:rPr>
      <w:sz w:val="16"/>
    </w:rPr>
  </w:style>
  <w:style w:type="paragraph" w:styleId="P17">
    <w:name w:val="msonormalcxspmiddlecxspmiddlecxspmiddlecxspmiddlecxspmiddle"/>
    <w:basedOn w:val="P1"/>
    <w:next w:val="P17"/>
    <w:pPr>
      <w:widowControl w:val="1"/>
      <w:spacing w:before="100" w:after="100" w:beforeAutospacing="1" w:afterAutospacing="1"/>
      <w:jc w:val="left"/>
    </w:pPr>
    <w:rPr>
      <w:rFonts w:ascii="宋体" w:hAnsi="宋体"/>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msonormalcxspmiddlecxsplast"/>
    <w:basedOn w:val="P1"/>
    <w:next w:val="P19"/>
    <w:pPr>
      <w:widowControl w:val="1"/>
      <w:spacing w:before="100" w:after="100" w:beforeAutospacing="1" w:afterAutospacing="1"/>
      <w:jc w:val="left"/>
    </w:pPr>
    <w:rPr>
      <w:rFonts w:ascii="宋体" w:hAnsi="宋体"/>
      <w:sz w:val="24"/>
    </w:rPr>
  </w:style>
  <w:style w:type="paragraph" w:styleId="P20">
    <w:name w:val="正文文本"/>
    <w:basedOn w:val="P1"/>
    <w:next w:val="P20"/>
    <w:link w:val="C28"/>
    <w:pPr/>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纯文本"/>
    <w:basedOn w:val="P1"/>
    <w:next w:val="P22"/>
    <w:link w:val="C15"/>
    <w:pPr/>
    <w:rPr>
      <w:rFonts w:ascii="华文宋体" w:hAnsi="华文宋体"/>
    </w:rPr>
  </w:style>
  <w:style w:type="paragraph" w:styleId="P23">
    <w:name w:val="msonormalcxspmiddlecxspmiddle"/>
    <w:basedOn w:val="P1"/>
    <w:next w:val="P23"/>
    <w:pPr>
      <w:widowControl w:val="1"/>
      <w:spacing w:before="100" w:after="100" w:beforeAutospacing="1" w:afterAutospacing="1"/>
      <w:jc w:val="left"/>
    </w:pPr>
    <w:rPr>
      <w:rFonts w:ascii="宋体" w:hAnsi="宋体"/>
      <w:sz w:val="24"/>
    </w:rPr>
  </w:style>
  <w:style w:type="paragraph" w:styleId="P24">
    <w:name w:val="正文文本缩进"/>
    <w:basedOn w:val="P1"/>
    <w:next w:val="P24"/>
    <w:link w:val="C23"/>
    <w:pPr>
      <w:spacing w:after="120"/>
      <w:ind w:left="420"/>
    </w:pPr>
    <w:rPr/>
  </w:style>
  <w:style w:type="paragraph" w:styleId="P25">
    <w:name w:val="正文文本 2"/>
    <w:basedOn w:val="P1"/>
    <w:next w:val="P25"/>
    <w:link w:val="C34"/>
    <w:pPr>
      <w:spacing w:lineRule="auto" w:line="480" w:after="120"/>
    </w:pPr>
    <w:rPr/>
  </w:style>
  <w:style w:type="paragraph" w:styleId="P26">
    <w:name w:val="juzhong"/>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HTML 预设格式"/>
    <w:basedOn w:val="P1"/>
    <w:next w:val="P2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样式2"/>
    <w:basedOn w:val="P1"/>
    <w:next w:val="P31"/>
    <w:link w:val="C22"/>
    <w:pPr/>
    <w:rPr>
      <w:rFonts w:ascii="仿宋_GB2312" w:hAnsi="仿宋_GB2312"/>
      <w:b w:val="1"/>
      <w:color w:val="000000"/>
    </w:rPr>
  </w:style>
  <w:style w:type="paragraph" w:styleId="P32">
    <w:name w:val="Char2"/>
    <w:basedOn w:val="P1"/>
    <w:next w:val="P32"/>
    <w:pPr/>
    <w:rPr>
      <w:rFonts w:ascii="Tahoma" w:hAnsi="Tahoma"/>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p0"/>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8"/>
    <w:next w:val="P41"/>
    <w:link w:val="C49"/>
    <w:qFormat/>
    <w:pPr>
      <w:spacing w:lineRule="exact" w:line="600"/>
      <w:jc w:val="center"/>
    </w:pPr>
    <w:rPr>
      <w:rFonts w:ascii="方正小标宋简体" w:hAnsi="方正小标宋简体"/>
      <w:color w:val="000000"/>
      <w:sz w:val="32"/>
    </w:rPr>
  </w:style>
  <w:style w:type="paragraph" w:styleId="P42">
    <w:name w:val="标题2"/>
    <w:basedOn w:val="P8"/>
    <w:next w:val="P42"/>
    <w:link w:val="C47"/>
    <w:pPr>
      <w:widowControl w:val="0"/>
      <w:jc w:val="center"/>
    </w:pPr>
    <w:rPr>
      <w:rFonts w:ascii="楷体_GB2312" w:hAnsi="楷体_GB2312"/>
      <w:color w:val="000000"/>
      <w:sz w:val="32"/>
    </w:rPr>
  </w:style>
  <w:style w:type="paragraph" w:styleId="P43">
    <w:name w:val="样式1"/>
    <w:basedOn w:val="P22"/>
    <w:next w:val="P43"/>
    <w:link w:val="C44"/>
    <w:qFormat/>
    <w:pPr>
      <w:ind w:firstLine="632"/>
    </w:pPr>
    <w:rPr>
      <w:rFonts w:ascii="楷体_GB2312" w:hAnsi="楷体_GB2312"/>
    </w:rPr>
  </w:style>
  <w:style w:type="paragraph" w:styleId="P44">
    <w:name w:val="标题3"/>
    <w:basedOn w:val="P22"/>
    <w:next w:val="P44"/>
    <w:link w:val="C45"/>
    <w:qFormat/>
    <w:pPr>
      <w:ind w:firstLine="632"/>
      <w:jc w:val="center"/>
    </w:pPr>
    <w:rPr>
      <w:rFonts w:ascii="黑体" w:hAnsi="黑体"/>
    </w:rPr>
  </w:style>
  <w:style w:type="paragraph" w:styleId="P45">
    <w:name w:val="样式3"/>
    <w:basedOn w:val="P31"/>
    <w:next w:val="P45"/>
    <w:link w:val="C46"/>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6"/>
    <w:rPr>
      <w:sz w:val="18"/>
    </w:rPr>
  </w:style>
  <w:style w:type="character" w:styleId="C5">
    <w:name w:val="正文文本缩进 3 Char1"/>
    <w:basedOn w:val="C3"/>
    <w:rPr>
      <w:rFonts w:ascii="Times New Roman" w:hAnsi="Times New Roman"/>
      <w:sz w:val="16"/>
    </w:rPr>
  </w:style>
  <w:style w:type="character" w:styleId="C6">
    <w:name w:val="超链接"/>
    <w:basedOn w:val="C3"/>
    <w:rPr>
      <w:color w:val="0000FF"/>
      <w:u w:val="single"/>
    </w:rPr>
  </w:style>
  <w:style w:type="character" w:styleId="C7">
    <w:name w:val="强调"/>
    <w:basedOn w:val="C3"/>
    <w:qFormat/>
    <w:rPr>
      <w:color w:val="CC0000"/>
    </w:rPr>
  </w:style>
  <w:style w:type="character" w:styleId="C8">
    <w:name w:val="日期 Char"/>
    <w:basedOn w:val="C3"/>
    <w:rPr>
      <w:rFonts w:ascii="仿宋_GB2312" w:hAnsi="仿宋_GB2312"/>
      <w:sz w:val="32"/>
    </w:rPr>
  </w:style>
  <w:style w:type="character" w:styleId="C9">
    <w:name w:val="HTML 预设格式 Char"/>
    <w:basedOn w:val="C3"/>
    <w:rPr>
      <w:rFonts w:ascii="宋体" w:hAnsi="宋体"/>
      <w:sz w:val="24"/>
    </w:rPr>
  </w:style>
  <w:style w:type="character" w:styleId="C10">
    <w:name w:val="正文文本缩进 2 Char Char"/>
    <w:basedOn w:val="C3"/>
    <w:rPr>
      <w:b w:val="1"/>
      <w:sz w:val="32"/>
    </w:rPr>
  </w:style>
  <w:style w:type="character" w:styleId="C11">
    <w:name w:val="要点"/>
    <w:basedOn w:val="C3"/>
    <w:qFormat/>
    <w:rPr>
      <w:b w:val="1"/>
    </w:rPr>
  </w:style>
  <w:style w:type="character" w:styleId="C12">
    <w:name w:val="页码"/>
    <w:basedOn w:val="C3"/>
    <w:rPr/>
  </w:style>
  <w:style w:type="character" w:styleId="C13">
    <w:name w:val="样式2 Char"/>
    <w:basedOn w:val="C3"/>
    <w:rPr>
      <w:rFonts w:ascii="仿宋_GB2312" w:hAnsi="仿宋_GB2312"/>
      <w:b w:val="1"/>
      <w:color w:val="000000"/>
      <w:sz w:val="32"/>
    </w:rPr>
  </w:style>
  <w:style w:type="character" w:styleId="C14">
    <w:name w:val="纯文本 Char1"/>
    <w:basedOn w:val="C3"/>
    <w:rPr>
      <w:rFonts w:ascii="宋体" w:hAnsi="宋体"/>
      <w:sz w:val="21"/>
    </w:rPr>
  </w:style>
  <w:style w:type="character" w:styleId="C15">
    <w:name w:val="纯文本 Char"/>
    <w:basedOn w:val="C3"/>
    <w:link w:val="P22"/>
    <w:rPr>
      <w:rFonts w:ascii="华文宋体" w:hAnsi="华文宋体"/>
    </w:rPr>
  </w:style>
  <w:style w:type="character" w:styleId="C16">
    <w:name w:val="页脚 Char Char"/>
    <w:basedOn w:val="C3"/>
    <w:rPr>
      <w:sz w:val="18"/>
    </w:rPr>
  </w:style>
  <w:style w:type="character" w:styleId="C17">
    <w:name w:val="正文文本 Char Char"/>
    <w:basedOn w:val="C3"/>
    <w:rPr>
      <w:sz w:val="32"/>
    </w:rPr>
  </w:style>
  <w:style w:type="character" w:styleId="C18">
    <w:name w:val="页脚 Char"/>
    <w:basedOn w:val="C3"/>
    <w:link w:val="P5"/>
    <w:rPr>
      <w:rFonts w:ascii="宋体" w:hAnsi="宋体"/>
      <w:sz w:val="18"/>
    </w:rPr>
  </w:style>
  <w:style w:type="character" w:styleId="C19">
    <w:name w:val="纯文本 Char Char"/>
    <w:basedOn w:val="C3"/>
    <w:rPr>
      <w:rFonts w:ascii="宋体" w:hAnsi="宋体"/>
      <w:sz w:val="32"/>
    </w:rPr>
  </w:style>
  <w:style w:type="character" w:styleId="C20">
    <w:name w:val="正文文本 Char1"/>
    <w:basedOn w:val="C3"/>
    <w:rPr>
      <w:rFonts w:ascii="Times New Roman" w:hAnsi="Times New Roman"/>
      <w:sz w:val="32"/>
    </w:rPr>
  </w:style>
  <w:style w:type="character" w:styleId="C21">
    <w:name w:val="Char Char4"/>
    <w:basedOn w:val="C3"/>
    <w:rPr>
      <w:rFonts w:ascii="文星仿宋" w:hAnsi="文星仿宋"/>
      <w:sz w:val="32"/>
    </w:rPr>
  </w:style>
  <w:style w:type="character" w:styleId="C22">
    <w:name w:val="样式2 Char Char"/>
    <w:basedOn w:val="C3"/>
    <w:link w:val="P31"/>
    <w:rPr>
      <w:rFonts w:ascii="仿宋_GB2312" w:hAnsi="仿宋_GB2312"/>
      <w:b w:val="1"/>
      <w:color w:val="000000"/>
    </w:rPr>
  </w:style>
  <w:style w:type="character" w:styleId="C23">
    <w:name w:val="正文文本缩进 Char"/>
    <w:basedOn w:val="C3"/>
    <w:link w:val="P24"/>
    <w:rPr/>
  </w:style>
  <w:style w:type="character" w:styleId="C24">
    <w:name w:val="正文文本缩进 2 Char"/>
    <w:basedOn w:val="C3"/>
    <w:link w:val="P9"/>
    <w:rPr/>
  </w:style>
  <w:style w:type="character" w:styleId="C25">
    <w:name w:val="普通(网站) Char"/>
    <w:basedOn w:val="C3"/>
    <w:link w:val="P8"/>
    <w:rPr>
      <w:rFonts w:ascii="宋体" w:hAnsi="宋体"/>
      <w:sz w:val="24"/>
    </w:rPr>
  </w:style>
  <w:style w:type="character" w:styleId="C26">
    <w:name w:val="Char Char7"/>
    <w:basedOn w:val="C3"/>
    <w:rPr>
      <w:rFonts w:ascii="宋体" w:hAnsi="宋体"/>
      <w:sz w:val="21"/>
    </w:rPr>
  </w:style>
  <w:style w:type="character" w:styleId="C27">
    <w:name w:val="Char Char8"/>
    <w:basedOn w:val="C3"/>
    <w:rPr>
      <w:rFonts w:ascii="宋体" w:hAnsi="宋体"/>
      <w:sz w:val="24"/>
    </w:rPr>
  </w:style>
  <w:style w:type="character" w:styleId="C28">
    <w:name w:val="正文文本 Char"/>
    <w:basedOn w:val="C3"/>
    <w:link w:val="P20"/>
    <w:rPr/>
  </w:style>
  <w:style w:type="character" w:styleId="C29">
    <w:name w:val="test1"/>
    <w:basedOn w:val="C3"/>
    <w:rPr>
      <w:sz w:val="25"/>
    </w:rPr>
  </w:style>
  <w:style w:type="character" w:styleId="C30">
    <w:name w:val="正文文本缩进 3 Char"/>
    <w:basedOn w:val="C3"/>
    <w:link w:val="P16"/>
    <w:rPr>
      <w:sz w:val="16"/>
    </w:rPr>
  </w:style>
  <w:style w:type="character" w:styleId="C31">
    <w:name w:val="页眉 Char"/>
    <w:basedOn w:val="C3"/>
    <w:link w:val="P15"/>
    <w:rPr>
      <w:sz w:val="18"/>
    </w:rPr>
  </w:style>
  <w:style w:type="character" w:styleId="C32">
    <w:name w:val="日期 Char Char"/>
    <w:basedOn w:val="C3"/>
    <w:rPr>
      <w:rFonts w:ascii="仿宋_GB2312" w:hAnsi="仿宋_GB2312"/>
      <w:sz w:val="32"/>
    </w:rPr>
  </w:style>
  <w:style w:type="character" w:styleId="C33">
    <w:name w:val="页眉 Char Char"/>
    <w:basedOn w:val="C3"/>
    <w:rPr>
      <w:sz w:val="18"/>
    </w:rPr>
  </w:style>
  <w:style w:type="character" w:styleId="C34">
    <w:name w:val="正文文本 2 Char"/>
    <w:basedOn w:val="C3"/>
    <w:link w:val="P25"/>
    <w:rPr/>
  </w:style>
  <w:style w:type="character" w:styleId="C35">
    <w:name w:val="正文文本缩进 Char Char"/>
    <w:basedOn w:val="C3"/>
    <w:rPr>
      <w:rFonts w:ascii="仿宋_GB2312" w:hAnsi="仿宋_GB2312"/>
      <w:sz w:val="32"/>
    </w:rPr>
  </w:style>
  <w:style w:type="character" w:styleId="C36">
    <w:name w:val="HTML 预设格式 Char Char"/>
    <w:basedOn w:val="C3"/>
    <w:rPr>
      <w:rFonts w:ascii="宋体" w:hAnsi="宋体"/>
      <w:sz w:val="24"/>
    </w:rPr>
  </w:style>
  <w:style w:type="character" w:styleId="C37">
    <w:name w:val="正文文本缩进 3 Char Char"/>
    <w:basedOn w:val="C3"/>
    <w:rPr>
      <w:sz w:val="32"/>
    </w:rPr>
  </w:style>
  <w:style w:type="character" w:styleId="C38">
    <w:name w:val="页脚 Char1"/>
    <w:basedOn w:val="C3"/>
    <w:rPr>
      <w:rFonts w:ascii="宋体" w:hAnsi="宋体"/>
      <w:sz w:val="18"/>
    </w:rPr>
  </w:style>
  <w:style w:type="character" w:styleId="C39">
    <w:name w:val="正文文本缩进 2 Char1"/>
    <w:basedOn w:val="C3"/>
    <w:rPr>
      <w:rFonts w:ascii="Times New Roman" w:hAnsi="Times New Roman"/>
      <w:sz w:val="32"/>
    </w:rPr>
  </w:style>
  <w:style w:type="character" w:styleId="C40">
    <w:name w:val="正文文本缩进 Char1"/>
    <w:basedOn w:val="C3"/>
    <w:rPr>
      <w:rFonts w:ascii="Times New Roman" w:hAnsi="Times New Roman"/>
      <w:sz w:val="32"/>
    </w:rPr>
  </w:style>
  <w:style w:type="character" w:styleId="C41">
    <w:name w:val="样式3 Char"/>
    <w:basedOn w:val="C13"/>
    <w:rPr/>
  </w:style>
  <w:style w:type="character" w:styleId="C42">
    <w:name w:val="样式1 Char"/>
    <w:basedOn w:val="C14"/>
    <w:rPr>
      <w:rFonts w:ascii="楷体_GB2312" w:hAnsi="楷体_GB2312"/>
      <w:sz w:val="32"/>
    </w:rPr>
  </w:style>
  <w:style w:type="character" w:styleId="C43">
    <w:name w:val="标题3 Char"/>
    <w:basedOn w:val="C14"/>
    <w:rPr>
      <w:rFonts w:ascii="黑体" w:hAnsi="黑体"/>
      <w:sz w:val="32"/>
    </w:rPr>
  </w:style>
  <w:style w:type="character" w:styleId="C44">
    <w:name w:val="样式1 Char Char"/>
    <w:basedOn w:val="C15"/>
    <w:link w:val="P43"/>
    <w:rPr>
      <w:rFonts w:ascii="楷体_GB2312" w:hAnsi="楷体_GB2312"/>
    </w:rPr>
  </w:style>
  <w:style w:type="character" w:styleId="C45">
    <w:name w:val="标题3 Char Char"/>
    <w:basedOn w:val="C15"/>
    <w:link w:val="P44"/>
    <w:rPr>
      <w:rFonts w:ascii="黑体" w:hAnsi="黑体"/>
    </w:rPr>
  </w:style>
  <w:style w:type="character" w:styleId="C46">
    <w:name w:val="样式3 Char Char"/>
    <w:basedOn w:val="C22"/>
    <w:link w:val="P45"/>
    <w:rPr/>
  </w:style>
  <w:style w:type="character" w:styleId="C47">
    <w:name w:val="标题2 Char Char"/>
    <w:basedOn w:val="C25"/>
    <w:link w:val="P42"/>
    <w:rPr>
      <w:rFonts w:ascii="楷体_GB2312" w:hAnsi="楷体_GB2312"/>
      <w:color w:val="000000"/>
      <w:sz w:val="32"/>
    </w:rPr>
  </w:style>
  <w:style w:type="character" w:styleId="C48">
    <w:name w:val="标题1 Char"/>
    <w:basedOn w:val="C25"/>
    <w:rPr>
      <w:rFonts w:ascii="方正小标宋简体" w:hAnsi="方正小标宋简体"/>
      <w:color w:val="000000"/>
      <w:sz w:val="32"/>
    </w:rPr>
  </w:style>
  <w:style w:type="character" w:styleId="C49">
    <w:name w:val="标题1 Char Char"/>
    <w:basedOn w:val="C25"/>
    <w:link w:val="P41"/>
    <w:rPr>
      <w:rFonts w:ascii="方正小标宋简体" w:hAnsi="方正小标宋简体"/>
      <w:color w:val="000000"/>
      <w:sz w:val="32"/>
    </w:rPr>
  </w:style>
  <w:style w:type="character" w:styleId="C50">
    <w:name w:val="标题2 Char"/>
    <w:basedOn w:val="C25"/>
    <w:rPr>
      <w:rFonts w:ascii="楷体_GB2312" w:hAnsi="楷体_GB2312"/>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