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A1C408" Type="http://schemas.openxmlformats.org/officeDocument/2006/relationships/officeDocument" Target="/word/document.xml" /><Relationship Id="coreR7AA1C408" Type="http://schemas.openxmlformats.org/package/2006/relationships/metadata/core-properties" Target="/docProps/core.xml" /><Relationship Id="customR7AA1C4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宋体" w:hAnsi="宋体"/>
          <w:sz w:val="32"/>
        </w:rPr>
      </w:pPr>
    </w:p>
    <w:p>
      <w:pPr>
        <w:pStyle w:val="P1"/>
        <w:spacing w:lineRule="exact" w:line="578"/>
        <w:ind w:firstLine="640"/>
        <w:rPr>
          <w:rStyle w:val="C3"/>
          <w:rFonts w:ascii="宋体" w:hAnsi="宋体"/>
          <w:sz w:val="32"/>
        </w:rPr>
      </w:pPr>
    </w:p>
    <w:p>
      <w:pPr>
        <w:pStyle w:val="P1"/>
        <w:spacing w:lineRule="exact" w:line="578"/>
        <w:jc w:val="center"/>
        <w:rPr>
          <w:rStyle w:val="C3"/>
          <w:rFonts w:ascii="仿宋_GB2312" w:hAnsi="仿宋_GB2312"/>
          <w:sz w:val="44"/>
        </w:rPr>
      </w:pPr>
      <w:r>
        <w:rPr>
          <w:rStyle w:val="C3"/>
          <w:rFonts w:ascii="宋体" w:hAnsi="宋体"/>
          <w:sz w:val="44"/>
        </w:rPr>
        <w:t>太原市老年人权益保障办法</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日太原市第十届人民代表大会常务委员会第三十二次会议通过　</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日山西省第九届人民代表大会常务委员会第二十四次会议批准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日山西省第十二届人民代表大会常务委员会第二十五次会议批准的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日太原市第十三届人民代表大会常务委员会第三十七次会议通过的《太原市人民代表大会常务委员会关于集中修改〈太原市老年人权益保障办法〉等五部地方性法规的决定》修正）</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家庭保障</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社会保障</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社会优待</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附则</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为保障老年人合法权益，使老年人逐步实现老有所养、老有所医、老有所学、老有所为、老有所乐，根据《中华人民共和国老年人权益保障法》和其他有关法律、法规，结合本市实际，制定本办法。</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本办法适用于本市行政区域内老年人的权益保障。</w:t>
      </w:r>
    </w:p>
    <w:p>
      <w:pPr>
        <w:pStyle w:val="P1"/>
        <w:spacing w:lineRule="exact" w:line="578"/>
        <w:ind w:firstLine="640"/>
        <w:rPr>
          <w:rStyle w:val="C3"/>
          <w:rFonts w:ascii="仿宋_GB2312" w:hAnsi="仿宋_GB2312"/>
          <w:sz w:val="32"/>
        </w:rPr>
      </w:pPr>
      <w:r>
        <w:rPr>
          <w:rStyle w:val="C3"/>
          <w:rFonts w:ascii="Microsoft YaHei UI" w:hAnsi="Microsoft YaHei UI"/>
          <w:sz w:val="32"/>
        </w:rPr>
        <w:t>本办法所称老年人是指六十周岁以上的公民。</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人民政府领导和协调老年人权益保障工作。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老龄委员会协助政府做好老年人权益保障工作。</w:t>
      </w:r>
    </w:p>
    <w:p>
      <w:pPr>
        <w:pStyle w:val="P1"/>
        <w:spacing w:lineRule="exact" w:line="578"/>
        <w:ind w:firstLine="640"/>
        <w:rPr>
          <w:rStyle w:val="C3"/>
          <w:rFonts w:ascii="仿宋_GB2312" w:hAnsi="仿宋_GB2312"/>
          <w:sz w:val="32"/>
        </w:rPr>
      </w:pPr>
      <w:r>
        <w:rPr>
          <w:rStyle w:val="C3"/>
          <w:rFonts w:ascii="Microsoft YaHei UI" w:hAnsi="Microsoft YaHei UI"/>
          <w:sz w:val="32"/>
        </w:rPr>
        <w:t>民政部门负责本办法的具体组织实施，并对有关部门和单位的老年人权益保障工作进行检查、督促。</w:t>
      </w:r>
    </w:p>
    <w:p>
      <w:pPr>
        <w:pStyle w:val="P1"/>
        <w:spacing w:lineRule="exact" w:line="578"/>
        <w:ind w:firstLine="640"/>
        <w:rPr>
          <w:rStyle w:val="C3"/>
          <w:rFonts w:ascii="仿宋_GB2312" w:hAnsi="仿宋_GB2312"/>
          <w:sz w:val="32"/>
        </w:rPr>
      </w:pPr>
      <w:r>
        <w:rPr>
          <w:rStyle w:val="C3"/>
          <w:rFonts w:ascii="Microsoft YaHei UI" w:hAnsi="Microsoft YaHei UI"/>
          <w:sz w:val="32"/>
        </w:rPr>
        <w:t>劳动和社会保障、人事、卫生、财政、教育、文化等部门及司法机关应当按照各自职责，依法做好老年人权益保障工作。</w:t>
      </w:r>
    </w:p>
    <w:p>
      <w:pPr>
        <w:pStyle w:val="P1"/>
        <w:spacing w:lineRule="exact" w:line="578"/>
        <w:ind w:firstLine="640"/>
        <w:rPr>
          <w:rStyle w:val="C3"/>
          <w:rFonts w:ascii="仿宋_GB2312" w:hAnsi="仿宋_GB2312"/>
          <w:sz w:val="32"/>
        </w:rPr>
      </w:pPr>
      <w:r>
        <w:rPr>
          <w:rStyle w:val="C3"/>
          <w:rFonts w:ascii="Microsoft YaHei UI" w:hAnsi="Microsoft YaHei UI"/>
          <w:sz w:val="32"/>
        </w:rPr>
        <w:t>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人民政府、街道办事处应当确定专人负责老年人权益保障工作。</w:t>
      </w:r>
    </w:p>
    <w:p>
      <w:pPr>
        <w:pStyle w:val="P1"/>
        <w:spacing w:lineRule="exact" w:line="578"/>
        <w:ind w:firstLine="640"/>
        <w:rPr>
          <w:rStyle w:val="C3"/>
          <w:rFonts w:ascii="仿宋_GB2312" w:hAnsi="仿宋_GB2312"/>
          <w:sz w:val="32"/>
        </w:rPr>
      </w:pPr>
      <w:r>
        <w:rPr>
          <w:rStyle w:val="C3"/>
          <w:rFonts w:ascii="Microsoft YaHei UI" w:hAnsi="Microsoft YaHei UI"/>
          <w:sz w:val="32"/>
        </w:rPr>
        <w:t>村民委员会、居民委员会应当反映老年人的要求，维护老年人的合法权益，为老年人服务。</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老年人权益保障应当坚持家庭保障与社会保障相结合、道德规范与法律约束相结合的原则。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人民政府应当将老年事业纳入国民经济和社会发展计划，使老年事业与经济、社会协调发展。</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全社会应当尊重、关心、帮助和照顾老年人。</w:t>
      </w:r>
    </w:p>
    <w:p>
      <w:pPr>
        <w:pStyle w:val="P1"/>
        <w:spacing w:lineRule="exact" w:line="578"/>
        <w:ind w:firstLine="640"/>
        <w:rPr>
          <w:rStyle w:val="C3"/>
          <w:rFonts w:ascii="仿宋_GB2312" w:hAnsi="仿宋_GB2312"/>
          <w:sz w:val="32"/>
        </w:rPr>
      </w:pPr>
      <w:r>
        <w:rPr>
          <w:rStyle w:val="C3"/>
          <w:rFonts w:ascii="Microsoft YaHei UI" w:hAnsi="Microsoft YaHei UI"/>
          <w:sz w:val="32"/>
        </w:rPr>
        <w:t>报刊、广播、电视等新闻媒体应当做好敬老、养老和助老宣传。</w:t>
      </w:r>
    </w:p>
    <w:p>
      <w:pPr>
        <w:pStyle w:val="P1"/>
        <w:spacing w:lineRule="exact" w:line="578"/>
        <w:ind w:firstLine="640"/>
        <w:rPr>
          <w:rStyle w:val="C3"/>
          <w:rFonts w:ascii="仿宋_GB2312" w:hAnsi="仿宋_GB2312"/>
          <w:sz w:val="32"/>
        </w:rPr>
      </w:pPr>
      <w:r>
        <w:rPr>
          <w:rStyle w:val="C3"/>
          <w:rFonts w:ascii="Microsoft YaHei UI" w:hAnsi="Microsoft YaHei UI"/>
          <w:sz w:val="32"/>
        </w:rPr>
        <w:t>禁止侮辱、诽谤、殴打、虐待和遗弃老年人。</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人民政府应当对维护、保障老年人合法权益和在敬老、养老、助老工作做出突出成绩的单位、组织、家庭和个人，给予表彰、奖励。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家庭保障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老年人的婚生子女、非婚生子女、养子女、形成抚养关系的继子女，以及父母死亡的有负担能力的孙子女、外孙子女有赡养老年人的义务。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老年人与配偶有互相扶养的义务。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由兄、姊扶养的弟、妹成年后，有负担能力的，对年老无赡养人的兄、姊有扶养的义务。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赡养人的配偶应当协助赡养人履行赡养义务。</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赡养人应当在经济上供养老年人，保证老年人的基本生活水平不低于家庭其他成员的平均基本生活水平。</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赡养人应当在生活上照料老年人。</w:t>
      </w:r>
    </w:p>
    <w:p>
      <w:pPr>
        <w:pStyle w:val="P1"/>
        <w:spacing w:lineRule="exact" w:line="578"/>
        <w:ind w:firstLine="640"/>
        <w:rPr>
          <w:rStyle w:val="C3"/>
          <w:rFonts w:ascii="仿宋_GB2312" w:hAnsi="仿宋_GB2312"/>
          <w:sz w:val="32"/>
        </w:rPr>
      </w:pPr>
      <w:r>
        <w:rPr>
          <w:rStyle w:val="C3"/>
          <w:rFonts w:ascii="Microsoft YaHei UI" w:hAnsi="Microsoft YaHei UI"/>
          <w:sz w:val="32"/>
        </w:rPr>
        <w:t>对单独居住的老年人，赡养人应当为其安排必要的生活用品，承担必要的家务劳动。</w:t>
      </w:r>
    </w:p>
    <w:p>
      <w:pPr>
        <w:pStyle w:val="P1"/>
        <w:spacing w:lineRule="exact" w:line="578"/>
        <w:ind w:firstLine="640"/>
        <w:rPr>
          <w:rStyle w:val="C3"/>
          <w:rFonts w:ascii="仿宋_GB2312" w:hAnsi="仿宋_GB2312"/>
          <w:sz w:val="32"/>
        </w:rPr>
      </w:pPr>
      <w:r>
        <w:rPr>
          <w:rStyle w:val="C3"/>
          <w:rFonts w:ascii="Microsoft YaHei UI" w:hAnsi="Microsoft YaHei UI"/>
          <w:sz w:val="32"/>
        </w:rPr>
        <w:t>对患病或者生活不能自理的老年人，赡养人应当承担护理责任，并及时提供所需医疗费用。</w:t>
      </w:r>
    </w:p>
    <w:p>
      <w:pPr>
        <w:pStyle w:val="P1"/>
        <w:spacing w:lineRule="exact" w:line="578"/>
        <w:ind w:firstLine="640"/>
        <w:rPr>
          <w:rStyle w:val="C3"/>
          <w:rFonts w:ascii="仿宋_GB2312" w:hAnsi="仿宋_GB2312"/>
          <w:sz w:val="32"/>
        </w:rPr>
      </w:pPr>
      <w:r>
        <w:rPr>
          <w:rStyle w:val="C3"/>
          <w:rFonts w:ascii="Microsoft YaHei UI" w:hAnsi="Microsoft YaHei UI"/>
          <w:sz w:val="32"/>
        </w:rPr>
        <w:t>赡养人有义务耕种、照管老年人的田地、林木和牲畜等，收益归老年人。</w:t>
      </w:r>
    </w:p>
    <w:p>
      <w:pPr>
        <w:pStyle w:val="P1"/>
        <w:spacing w:lineRule="exact" w:line="578"/>
        <w:ind w:firstLine="640"/>
        <w:rPr>
          <w:rStyle w:val="C3"/>
          <w:rFonts w:ascii="仿宋_GB2312" w:hAnsi="仿宋_GB2312"/>
          <w:sz w:val="32"/>
        </w:rPr>
      </w:pPr>
      <w:r>
        <w:rPr>
          <w:rStyle w:val="C3"/>
          <w:rFonts w:ascii="Microsoft YaHei UI" w:hAnsi="Microsoft YaHei UI"/>
          <w:sz w:val="32"/>
        </w:rPr>
        <w:t>赡养人应当尊重老年夫妻共同生活的意愿，不得强行将老年夫妻分开赡养。</w:t>
      </w:r>
    </w:p>
    <w:p>
      <w:pPr>
        <w:pStyle w:val="P1"/>
        <w:spacing w:lineRule="exact" w:line="578"/>
        <w:ind w:firstLine="640"/>
        <w:rPr>
          <w:rStyle w:val="C3"/>
          <w:rFonts w:ascii="仿宋_GB2312" w:hAnsi="仿宋_GB2312"/>
          <w:sz w:val="32"/>
        </w:rPr>
      </w:pPr>
      <w:r>
        <w:rPr>
          <w:rStyle w:val="C3"/>
          <w:rFonts w:ascii="Microsoft YaHei UI" w:hAnsi="Microsoft YaHei UI"/>
          <w:sz w:val="32"/>
        </w:rPr>
        <w:t>赡养人及其他家庭成员不得要求老年人承担力不能及的劳动。</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赡养人及其家庭成员应当营造和睦友爱的家庭氛围，给予老年人精神慰藉。</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赡养人应当妥善安排老年人的住房，不得强迫老年人迁居条件低劣的房屋。</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老年人自有的或者承租的住房，赡养人或者其他亲属不得侵占；未经老年人同意，不得擅自改变产权关系或者租赁关系。</w:t>
      </w:r>
    </w:p>
    <w:p>
      <w:pPr>
        <w:pStyle w:val="P1"/>
        <w:spacing w:lineRule="exact" w:line="578"/>
        <w:ind w:firstLine="640"/>
        <w:rPr>
          <w:rStyle w:val="C3"/>
          <w:rFonts w:ascii="仿宋_GB2312" w:hAnsi="仿宋_GB2312"/>
          <w:sz w:val="32"/>
        </w:rPr>
      </w:pPr>
      <w:r>
        <w:rPr>
          <w:rStyle w:val="C3"/>
          <w:rFonts w:ascii="Microsoft YaHei UI" w:hAnsi="Microsoft YaHei UI"/>
          <w:sz w:val="32"/>
        </w:rPr>
        <w:t>房屋、土地等管理部门在办理老年人自有的或者承租的住房转移、过户、交换等手续时，应当查验老年人签名的书面材料。</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老年人自有的住房，赡养人有维修的义务。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赡养人或者其他亲属经老年人同意，借老年人房屋使用的，到约定期限应当及时归还，不得无故拖延。</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老年人对自己的合法收入和其他财产，依法享有占有、使用、收益、处分的权利，赡养人或者其他亲属不得干涉。</w:t>
      </w:r>
    </w:p>
    <w:p>
      <w:pPr>
        <w:pStyle w:val="P1"/>
        <w:spacing w:lineRule="exact" w:line="578"/>
        <w:ind w:firstLine="640"/>
        <w:rPr>
          <w:rStyle w:val="C3"/>
          <w:rFonts w:ascii="仿宋_GB2312" w:hAnsi="仿宋_GB2312"/>
          <w:sz w:val="32"/>
        </w:rPr>
      </w:pPr>
      <w:r>
        <w:rPr>
          <w:rStyle w:val="C3"/>
          <w:rFonts w:ascii="Microsoft YaHei UI" w:hAnsi="Microsoft YaHei UI"/>
          <w:sz w:val="32"/>
        </w:rPr>
        <w:t>成年子女或者其他亲属，不得以任何理由，强行索取、克扣老年人的财物。</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老年人有依法继承父母、配偶、子女或者其他亲属遗产的权利，有接受赠与的权利。子女或者其他亲属不得侵吞、抢夺、转移、隐匿应当由老年人继承的遗产。</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老年人的婚姻自由受法律保护。</w:t>
      </w:r>
    </w:p>
    <w:p>
      <w:pPr>
        <w:pStyle w:val="P1"/>
        <w:spacing w:lineRule="exact" w:line="578"/>
        <w:ind w:firstLine="640"/>
        <w:rPr>
          <w:rStyle w:val="C3"/>
          <w:rFonts w:ascii="仿宋_GB2312" w:hAnsi="仿宋_GB2312"/>
          <w:sz w:val="32"/>
        </w:rPr>
      </w:pPr>
      <w:r>
        <w:rPr>
          <w:rStyle w:val="C3"/>
          <w:rFonts w:ascii="Microsoft YaHei UI" w:hAnsi="Microsoft YaHei UI"/>
          <w:sz w:val="32"/>
        </w:rPr>
        <w:t>子女或者其他亲属不得干涉老年人离婚、再婚及婚后生活；子女对老年人的赡养义务，不因婚姻关系变化而终止。</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赡养人不得以放弃继承权为理由，拒绝履行赡养义务。赡养人之间可以就履行赡养义务签订协议，并征得老年人同意。居民委员会、村民委员会或者赡养人所在单位监督协议的履行。</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社会保障</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市人民政府应当逐步完善职工养老保险制度，保障与改善老年人的基本生活。</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老年人依法享有的养老金和其他待遇应当得到保障。有关单位必须按时足额支付，不得拖欠、克扣和挪用。</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人民政府应当设立老年特困救助资金。资金主要来源为政府拨款和社会捐赠。</w:t>
      </w:r>
    </w:p>
    <w:p>
      <w:pPr>
        <w:pStyle w:val="P1"/>
        <w:spacing w:lineRule="exact" w:line="578"/>
        <w:ind w:firstLine="640"/>
        <w:rPr>
          <w:rStyle w:val="C3"/>
          <w:rFonts w:ascii="仿宋_GB2312" w:hAnsi="仿宋_GB2312"/>
          <w:sz w:val="32"/>
        </w:rPr>
      </w:pPr>
      <w:r>
        <w:rPr>
          <w:rStyle w:val="C3"/>
          <w:rFonts w:ascii="Microsoft YaHei UI" w:hAnsi="Microsoft YaHei UI"/>
          <w:sz w:val="32"/>
        </w:rPr>
        <w:t>老年特困救助资金主要用于城镇下列人员的基本生活费和医疗费：</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无劳动能力、无生活来源、无赡养人和扶养人的老年人；</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虽有赡养人和扶养人，但赡养人和扶养人确无赡养能力或者扶养能力的老年人。</w:t>
      </w:r>
    </w:p>
    <w:p>
      <w:pPr>
        <w:pStyle w:val="P1"/>
        <w:spacing w:lineRule="exact" w:line="578"/>
        <w:ind w:firstLine="640"/>
        <w:rPr>
          <w:rStyle w:val="C3"/>
          <w:rFonts w:ascii="仿宋_GB2312" w:hAnsi="仿宋_GB2312"/>
          <w:sz w:val="32"/>
        </w:rPr>
      </w:pPr>
      <w:r>
        <w:rPr>
          <w:rStyle w:val="C3"/>
          <w:rFonts w:ascii="Microsoft YaHei UI" w:hAnsi="Microsoft YaHei UI"/>
          <w:sz w:val="32"/>
        </w:rPr>
        <w:t>老年特困救助资金应当纳入财政专户储存，专款专用，任何单位和个人不得截留、克扣、挪用。</w:t>
      </w:r>
    </w:p>
    <w:p>
      <w:pPr>
        <w:pStyle w:val="P1"/>
        <w:spacing w:lineRule="exact" w:line="578"/>
        <w:ind w:firstLine="640"/>
        <w:rPr>
          <w:rStyle w:val="C3"/>
          <w:rFonts w:ascii="仿宋_GB2312" w:hAnsi="仿宋_GB2312"/>
          <w:sz w:val="32"/>
        </w:rPr>
      </w:pPr>
      <w:r>
        <w:rPr>
          <w:rStyle w:val="C3"/>
          <w:rFonts w:ascii="Microsoft YaHei UI" w:hAnsi="Microsoft YaHei UI"/>
          <w:sz w:val="32"/>
        </w:rPr>
        <w:t>老年特困救助资金的具体使用办法由市人民政府制定。</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农村应当逐步推行社会养老保险制度，保障与改善农村老年人的基本生活。</w:t>
      </w:r>
    </w:p>
    <w:p>
      <w:pPr>
        <w:pStyle w:val="P1"/>
        <w:spacing w:lineRule="exact" w:line="578"/>
        <w:ind w:firstLine="640"/>
        <w:rPr>
          <w:rStyle w:val="C3"/>
          <w:rFonts w:ascii="仿宋_GB2312" w:hAnsi="仿宋_GB2312"/>
          <w:sz w:val="32"/>
        </w:rPr>
      </w:pPr>
      <w:r>
        <w:rPr>
          <w:rStyle w:val="C3"/>
          <w:rFonts w:ascii="Microsoft YaHei UI" w:hAnsi="Microsoft YaHei UI"/>
          <w:sz w:val="32"/>
        </w:rPr>
        <w:t>农村可以根据实际情况，将未承包的集体所有的部分土地、山林、水面、滩涂、荒山、草场等作为养老基地，收益用于老年人养老。</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农村的老年人，无劳动能力、无生活来源、无赡养人和扶养人，或者其赡养人和扶养人确无赡养能力或者扶养能力的，由农村集体经济组织负担保吃、保穿、保住、保医、保葬的五保供养，乡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人民政府、街道办事处负责组织实施。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实行五保供养确有困难的村庄，由村民委员会申请，经乡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人民政府、街道办事处同意，可以向县级以上人民政府申请老年特困救助资金给予补助。</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老年人依法享有的医疗待遇应当得到保障，有关机构必须按时足额支付，不得克扣、拖欠或者挪用。</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按照老年人口自然增长和经济发展状况，逐步增加对老年事业的投入，将老年福利院、敬老院、托老所、老年公寓、老年医疗康复中心、老年文化、体育娱乐场所等设施的建设纳入城市建设规划，并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人民政府应当采取措施，积极扶持和鼓励社会各方面投资或者捐资兴办各类老年服务和福利设施。对新建老年福利设施的市政基础设施配套费酌情减免。</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新建、改建老年公共设施，应当根据老年人的特殊需要，配备轮椅、座椅、扶手等设施。</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市人民政府在制定城镇居民住宅区规划时，无论新区建设还是旧区改造，都应当将老年服务设施纳入公共设施之内，统一规划，统一设计，统一建设。</w:t>
      </w:r>
    </w:p>
    <w:p>
      <w:pPr>
        <w:pStyle w:val="P1"/>
        <w:spacing w:lineRule="exact" w:line="578"/>
        <w:ind w:firstLine="640"/>
        <w:rPr>
          <w:rStyle w:val="C3"/>
          <w:rFonts w:ascii="仿宋_GB2312" w:hAnsi="仿宋_GB2312"/>
          <w:sz w:val="32"/>
        </w:rPr>
      </w:pP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人民政府应当在辖区内设立老年活动中心，乡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应当设立敬老院，街道办事处应当设立老年综合活动场所，有条件的居民委员会和村民委员会也应当设立老年人活动场所，开展健康有益的活动。</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老年福利设施、老年服务设施和活动场所，未经市、县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人民政府批准不得改作他用。</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福利院、敬老院、托老所、老年公寓等机构，对集中供养的老年人应当精心照顾，热情护理。任何人不得克扣、挪用、侵占老年人的伙食费和物资。</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人民政府应当重视发展老年教育事业，根据实际情况开办多种形式的老年学校，并鼓励和指导社会力量办好各类老年学校。</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人民政府应当加强老年人才资源的开发，支持和鼓励老年人利用知识和技术参与科技开发和应用、从事经营和生产活动、兴办社会公益事业等。</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聘用老年人从事生产活动的，不得安排有毒、有害、高空、井下、高温、低温、重体力以及其他不适宜老年人的工作。</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第四章　社会优待</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全社会对老年人实行优待和扶助。</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老年人可以享受下列优待：</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乘坐公路、铁路、民航等交通运输工具优先买票、托运行李、进出站</w:t>
      </w:r>
      <w:r>
        <w:rPr>
          <w:rStyle w:val="C3"/>
          <w:rFonts w:ascii="仿宋_GB2312" w:hAnsi="仿宋_GB2312"/>
          <w:sz w:val="32"/>
        </w:rPr>
        <w:t>(</w:t>
      </w:r>
      <w:r>
        <w:rPr>
          <w:rStyle w:val="C3"/>
          <w:rFonts w:ascii="Microsoft YaHei UI" w:hAnsi="Microsoft YaHei UI"/>
          <w:sz w:val="32"/>
        </w:rPr>
        <w:t>港</w:t>
      </w:r>
      <w:r>
        <w:rPr>
          <w:rStyle w:val="C3"/>
          <w:rFonts w:ascii="仿宋_GB2312" w:hAnsi="仿宋_GB2312"/>
          <w:sz w:val="32"/>
        </w:rPr>
        <w:t>)</w:t>
      </w:r>
      <w:r>
        <w:rPr>
          <w:rStyle w:val="C3"/>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进行婚姻登记免收工本费；</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就医挂号、治疗、取药优先；</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因合法权益受到侵害提起诉讼，交纳诉讼费确有困难的，可以缓交、减交或者免交；符合法律援助条件的，优先获得法律援助。</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本市对七十周岁以上的老年人发放《老年优待证》。持证除享受前条规定的优待服务外，还可以享受以下待遇：</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免费乘坐市内公共汽车、电车；</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就医免收普通门诊挂号费；</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免费进入文化宫</w:t>
      </w:r>
      <w:r>
        <w:rPr>
          <w:rStyle w:val="C3"/>
          <w:rFonts w:ascii="仿宋_GB2312" w:hAnsi="仿宋_GB2312"/>
          <w:sz w:val="32"/>
        </w:rPr>
        <w:t>(</w:t>
      </w:r>
      <w:r>
        <w:rPr>
          <w:rStyle w:val="C3"/>
          <w:rFonts w:ascii="Microsoft YaHei UI" w:hAnsi="Microsoft YaHei UI"/>
          <w:sz w:val="32"/>
        </w:rPr>
        <w:t>馆</w:t>
      </w:r>
      <w:r>
        <w:rPr>
          <w:rStyle w:val="C3"/>
          <w:rFonts w:ascii="仿宋_GB2312" w:hAnsi="仿宋_GB2312"/>
          <w:sz w:val="32"/>
        </w:rPr>
        <w:t>)</w:t>
      </w:r>
      <w:r>
        <w:rPr>
          <w:rStyle w:val="C3"/>
          <w:rFonts w:ascii="Microsoft YaHei UI" w:hAnsi="Microsoft YaHei UI"/>
          <w:sz w:val="32"/>
        </w:rPr>
        <w:t>、影剧院、俱乐部、图书馆、博物馆、美术馆、纪念馆、旅游景点；</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单独居住需要安装有线电视的，免收安装费；</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进入公园免购门票；</w:t>
      </w:r>
    </w:p>
    <w:p>
      <w:pPr>
        <w:pStyle w:val="P1"/>
        <w:spacing w:lineRule="exact" w:line="578"/>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进入收费厕所免费。</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对一百周岁以上的老年人，县级以上人民政府应当发给长寿保健补助费。具体标准由市人民政府规定。</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老年福利机构的用电应当按最优惠价格收费，用水按居民生活使用价格标准收费；使用电话等电信业务给予优惠和优先照顾。</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第五章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　</w:t>
      </w:r>
      <w:r>
        <w:rPr>
          <w:rStyle w:val="C3"/>
          <w:rFonts w:ascii="Microsoft YaHei UI" w:hAnsi="Microsoft YaHei UI"/>
          <w:sz w:val="32"/>
        </w:rPr>
        <w:t>老年人合法权益受到侵害的，被侵害人或者其代理人有权要求有关部门处理，或者依法向人民法院提起诉讼。</w:t>
      </w:r>
    </w:p>
    <w:p>
      <w:pPr>
        <w:pStyle w:val="P1"/>
        <w:spacing w:lineRule="exact" w:line="578"/>
        <w:ind w:firstLine="640"/>
        <w:rPr>
          <w:rStyle w:val="C3"/>
          <w:rFonts w:ascii="仿宋_GB2312" w:hAnsi="仿宋_GB2312"/>
          <w:sz w:val="32"/>
        </w:rPr>
      </w:pPr>
      <w:r>
        <w:rPr>
          <w:rStyle w:val="C3"/>
          <w:rFonts w:ascii="Microsoft YaHei UI" w:hAnsi="Microsoft YaHei UI"/>
          <w:sz w:val="32"/>
        </w:rPr>
        <w:t>有关部门和人民法院，对侵犯老年人合法权益的申诉、控告和检举，应当依法及时受理，不得推诿、拖延。</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老年人投诉有困难的，有关部门和单位应当派人员上门调查处理。</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不履行保护老年人合法权益职责的单位或者组织，其上级主管部门应当给予批评教育，责令改正。</w:t>
      </w:r>
    </w:p>
    <w:p>
      <w:pPr>
        <w:pStyle w:val="P1"/>
        <w:spacing w:lineRule="exact" w:line="578"/>
        <w:ind w:firstLine="640"/>
        <w:rPr>
          <w:rStyle w:val="C3"/>
          <w:rFonts w:ascii="仿宋_GB2312" w:hAnsi="仿宋_GB2312"/>
          <w:sz w:val="32"/>
        </w:rPr>
      </w:pPr>
      <w:r>
        <w:rPr>
          <w:rStyle w:val="C3"/>
          <w:rFonts w:ascii="Microsoft YaHei UI" w:hAnsi="Microsoft YaHei UI"/>
          <w:sz w:val="32"/>
        </w:rPr>
        <w:t>老年人的子女及其家庭成员违反本办法规定的，由居住地的居民委员会、村民委员会或者所在单位给予批评教育，责令改正。</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老年人与家庭成员因赡养、扶养或者住房、财产等发生纠纷，可以申请人民调解委员会或者其他有关组织进行调解，也可以直接向人民法院提起诉讼。</w:t>
      </w:r>
    </w:p>
    <w:p>
      <w:pPr>
        <w:pStyle w:val="P1"/>
        <w:spacing w:lineRule="exact" w:line="578"/>
        <w:ind w:firstLine="640"/>
        <w:rPr>
          <w:rStyle w:val="C3"/>
          <w:rFonts w:ascii="仿宋_GB2312" w:hAnsi="仿宋_GB2312"/>
          <w:sz w:val="32"/>
        </w:rPr>
      </w:pPr>
      <w:r>
        <w:rPr>
          <w:rStyle w:val="C3"/>
          <w:rFonts w:ascii="Microsoft YaHei UI" w:hAnsi="Microsoft YaHei UI"/>
          <w:sz w:val="32"/>
        </w:rPr>
        <w:t>人民调解委员会或者其他有关组织调解前款纠纷时，应当通过说服、疏导等方式化解矛盾和纠纷；对有过错的家庭成员，应当给予批评教育。</w:t>
      </w:r>
    </w:p>
    <w:p>
      <w:pPr>
        <w:pStyle w:val="P1"/>
        <w:spacing w:lineRule="exact" w:line="578"/>
        <w:ind w:firstLine="640"/>
        <w:rPr>
          <w:rStyle w:val="C3"/>
          <w:rFonts w:ascii="仿宋_GB2312" w:hAnsi="仿宋_GB2312"/>
          <w:sz w:val="32"/>
        </w:rPr>
      </w:pPr>
      <w:r>
        <w:rPr>
          <w:rStyle w:val="C3"/>
          <w:rFonts w:ascii="Microsoft YaHei UI" w:hAnsi="Microsoft YaHei UI"/>
          <w:sz w:val="32"/>
        </w:rPr>
        <w:t>人民法院对老年人追索赡养费或者扶养费的申请，可以依法裁定先予执行。</w:t>
      </w:r>
    </w:p>
    <w:p>
      <w:pPr>
        <w:pStyle w:val="P1"/>
        <w:spacing w:lineRule="exact" w:line="578"/>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拖欠、克扣、挪用或者不按时足额发放养老金的，由上级主管部门给予通报批评，经批评教育仍不改正者，追究单位负责人和直接责任人的行政责任；构成犯罪的，依法追究刑事责任。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对未经批准擅自改变老年福利设施、老年服务设施和活动场所用途的，由民政部门责令限期恢复原状。</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对拒不执行本办法规定的单位和个人，老年人可以向民政部门投诉，民政部门接到投诉后应当及时查处。</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贪污、挪用特困救助资金的，依法追究其法律责任。</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第六章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本办法自公布之日起施行。</w:t>
      </w:r>
    </w:p>
    <w:p>
      <w:pPr>
        <w:pStyle w:val="P1"/>
        <w:spacing w:lineRule="exact" w:line="578"/>
        <w:ind w:firstLine="640"/>
        <w:rPr>
          <w:rStyle w:val="C3"/>
          <w:rFonts w:ascii="仿宋_GB2312" w:hAnsi="仿宋_GB2312"/>
          <w:sz w:val="32"/>
        </w:rPr>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6"/>
    <w:pPr>
      <w:spacing w:before="100" w:after="100" w:beforeAutospacing="1" w:afterAutospacing="1"/>
      <w:jc w:val="left"/>
      <w:outlineLvl w:val="1"/>
    </w:pPr>
    <w:rPr>
      <w:rFonts w:ascii="宋体" w:hAnsi="宋体"/>
      <w:b w:val="1"/>
      <w:sz w:val="36"/>
    </w:rPr>
  </w:style>
  <w:style w:type="paragraph" w:styleId="P4">
    <w:name w:val="标题 3"/>
    <w:basedOn w:val="P1"/>
    <w:next w:val="P1"/>
    <w:link w:val="C7"/>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link w:val="P2"/>
    <w:rPr>
      <w:rFonts w:ascii="宋体" w:hAnsi="宋体"/>
      <w:b w:val="1"/>
      <w:sz w:val="48"/>
    </w:rPr>
  </w:style>
  <w:style w:type="character" w:styleId="C5">
    <w:name w:val="页眉 Char"/>
    <w:link w:val="P5"/>
    <w:rPr>
      <w:rFonts w:ascii="Calibri" w:hAnsi="Calibri"/>
      <w:sz w:val="18"/>
    </w:rPr>
  </w:style>
  <w:style w:type="character" w:styleId="C6">
    <w:name w:val="标题 2 Char"/>
    <w:link w:val="P3"/>
    <w:rPr>
      <w:rFonts w:ascii="宋体" w:hAnsi="宋体"/>
      <w:b w:val="1"/>
      <w:sz w:val="36"/>
    </w:rPr>
  </w:style>
  <w:style w:type="character" w:styleId="C7">
    <w:name w:val="标题 3 Char"/>
    <w:link w:val="P4"/>
    <w:rPr>
      <w:rFonts w:ascii="宋体" w:hAnsi="宋体"/>
      <w:b w:val="1"/>
      <w:sz w:val="27"/>
    </w:rPr>
  </w:style>
  <w:style w:type="character" w:styleId="C8">
    <w:name w:val="页脚 Char"/>
    <w:link w:val="P6"/>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2024-08-28T01:34:19Z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