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DDB3E0" Type="http://schemas.openxmlformats.org/officeDocument/2006/relationships/officeDocument" Target="/word/document.xml" /><Relationship Id="coreR51DDB3E0" Type="http://schemas.openxmlformats.org/package/2006/relationships/metadata/core-properties" Target="/docProps/core.xml" /><Relationship Id="customR51DDB3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2"/>
        <w:spacing w:lineRule="exact" w:line="560" w:before="0" w:after="0" w:beforeAutospacing="0" w:afterAutospacing="0"/>
        <w:contextualSpacing w:val="1"/>
        <w:jc w:val="center"/>
        <w:rPr>
          <w:rStyle w:val="C3"/>
          <w:rFonts w:ascii="方正小标宋简体" w:hAnsi="方正小标宋简体"/>
          <w:sz w:val="44"/>
        </w:rPr>
      </w:pPr>
    </w:p>
    <w:p>
      <w:pPr>
        <w:pStyle w:val="P22"/>
        <w:spacing w:lineRule="exact" w:line="560" w:before="0" w:after="0" w:beforeAutospacing="0" w:afterAutospacing="0"/>
        <w:contextualSpacing w:val="1"/>
        <w:jc w:val="center"/>
        <w:rPr>
          <w:rStyle w:val="C3"/>
          <w:rFonts w:ascii="方正小标宋简体" w:hAnsi="方正小标宋简体"/>
          <w:sz w:val="44"/>
        </w:rPr>
      </w:pPr>
    </w:p>
    <w:p>
      <w:pPr>
        <w:pStyle w:val="P22"/>
        <w:spacing w:lineRule="exact" w:line="560" w:before="0" w:after="0" w:beforeAutospacing="0" w:afterAutospacing="0"/>
        <w:contextualSpacing w:val="1"/>
        <w:jc w:val="center"/>
        <w:rPr>
          <w:rStyle w:val="C3"/>
          <w:sz w:val="44"/>
        </w:rPr>
      </w:pPr>
      <w:r>
        <w:rPr>
          <w:rStyle w:val="C3"/>
          <w:sz w:val="44"/>
        </w:rPr>
        <w:t>天津市专业技术人员和管理人员继续教育条例</w:t>
      </w:r>
    </w:p>
    <w:p>
      <w:pPr>
        <w:pStyle w:val="P22"/>
        <w:spacing w:lineRule="exact" w:line="560" w:before="0" w:after="0" w:beforeAutospacing="0" w:afterAutospacing="0"/>
        <w:contextualSpacing w:val="1"/>
        <w:jc w:val="center"/>
        <w:rPr>
          <w:rStyle w:val="C3"/>
          <w:rFonts w:ascii="Adobe 仿宋 Std R" w:hAnsi="Adobe 仿宋 Std R"/>
          <w:sz w:val="32"/>
        </w:rPr>
      </w:pPr>
    </w:p>
    <w:p>
      <w:pPr>
        <w:pStyle w:val="P22"/>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日天津市第十三届人民代表大会常务委员会第二十九次会议通过）</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为不断提高专业技术人员和管理人员的专业技术水平和管理水平，促进经济和社会发展，根据国家有关法律、法规，结合我市实际情况，制定本条例。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条例所称专业技术人员和管理人员继续教育（以下简称继续教育），是指对专业技术人员和管理人员进行的以更新、补充、拓展知识，增强创新能力，提高专业技术和管理水平，促进企业、事业单位发展为目的的教育。</w:t>
      </w:r>
    </w:p>
    <w:p>
      <w:pPr>
        <w:pStyle w:val="P1"/>
        <w:spacing w:lineRule="exact" w:line="560"/>
        <w:contextualSpacing w:val="1"/>
        <w:rPr>
          <w:rStyle w:val="C3"/>
          <w:rFonts w:ascii="仿宋_GB2312" w:hAnsi="仿宋_GB2312"/>
        </w:rPr>
      </w:pPr>
      <w:r>
        <w:rPr>
          <w:rStyle w:val="C3"/>
          <w:rFonts w:ascii="Microsoft YaHei UI" w:hAnsi="Microsoft YaHei UI"/>
        </w:rPr>
        <w:t>　　专业技术人员和管理人员有依法接受继续教育的权利和义务。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在本市企业、事业单位专业技术岗位和管理岗位工作的人员的继续教育，适用本条例。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继续教育要以科学的理论为指导，面向现代化、面向世界、面向未来，坚持按需施教、学以致用、讲求实效和创新提高的原则。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各级人民政府应当根据经济、科技和社会发展的需要，编制继续教育中、长期规划，逐年加大投入，支持和引导企业、事业单位自主实施继续教育，鼓励专业技术人员和管理人员自觉参加继续教育。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　第六条</w:t>
      </w:r>
      <w:r>
        <w:rPr>
          <w:rStyle w:val="C3"/>
          <w:rFonts w:ascii="Microsoft YaHei UI" w:hAnsi="Microsoft YaHei UI"/>
        </w:rPr>
        <w:t>　人事行政部门是本市继续教育的主管部门，负责继续教育工作的组织、指导、协调和管理监督工作。</w:t>
      </w:r>
    </w:p>
    <w:p>
      <w:pPr>
        <w:pStyle w:val="P1"/>
        <w:spacing w:lineRule="exact" w:line="560"/>
        <w:contextualSpacing w:val="1"/>
        <w:rPr>
          <w:rStyle w:val="C3"/>
          <w:rFonts w:ascii="仿宋_GB2312" w:hAnsi="仿宋_GB2312"/>
        </w:rPr>
      </w:pPr>
      <w:r>
        <w:rPr>
          <w:rStyle w:val="C3"/>
          <w:rFonts w:ascii="Microsoft YaHei UI" w:hAnsi="Microsoft YaHei UI"/>
        </w:rPr>
        <w:t>　　教育、经济、科技、卫生、劳动、财政、物价等部门应当按照各自职责做好继续教育以及相关工作。</w:t>
      </w:r>
    </w:p>
    <w:p>
      <w:pPr>
        <w:pStyle w:val="P1"/>
        <w:spacing w:lineRule="exact" w:line="560"/>
        <w:contextualSpacing w:val="1"/>
        <w:rPr>
          <w:rStyle w:val="C3"/>
          <w:rFonts w:ascii="仿宋_GB2312" w:hAnsi="仿宋_GB2312"/>
        </w:rPr>
      </w:pPr>
      <w:r>
        <w:rPr>
          <w:rStyle w:val="C3"/>
          <w:rFonts w:ascii="Microsoft YaHei UI" w:hAnsi="Microsoft YaHei UI"/>
        </w:rPr>
        <w:t>　　行业主管部门和行业组织具体负责本行业继续教育的规划、指导和推动工作。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继续教育的内容应当根据企业、事业单位的发展和专业技术人员、管理人员提高自身素质的需要确定，进行先进的理论、知识、技术和技能的学习。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企业、事业单位应当根据本单位的实际和需要，制定继续教育计划并负责组织实施。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专业技术人员和管理人员接受继续教育，以参加本单位、本行业组织的学习和有计划、有考核的自学活动为主，也可以根据单位的需要和可能通过以下形式进行：</w:t>
      </w:r>
    </w:p>
    <w:p>
      <w:pPr>
        <w:pStyle w:val="P1"/>
        <w:spacing w:lineRule="exact" w:line="560"/>
        <w:contextualSpacing w:val="1"/>
        <w:rPr>
          <w:rStyle w:val="C3"/>
          <w:rFonts w:ascii="仿宋_GB2312" w:hAnsi="仿宋_GB2312"/>
        </w:rPr>
      </w:pPr>
      <w:r>
        <w:rPr>
          <w:rStyle w:val="C3"/>
          <w:rFonts w:ascii="Microsoft YaHei UI" w:hAnsi="Microsoft YaHei UI"/>
        </w:rPr>
        <w:t>　　（一）参加进修班、培训班和研修班；</w:t>
      </w:r>
    </w:p>
    <w:p>
      <w:pPr>
        <w:pStyle w:val="P1"/>
        <w:spacing w:lineRule="exact" w:line="560"/>
        <w:contextualSpacing w:val="1"/>
        <w:rPr>
          <w:rStyle w:val="C3"/>
          <w:rFonts w:ascii="仿宋_GB2312" w:hAnsi="仿宋_GB2312"/>
        </w:rPr>
      </w:pPr>
      <w:r>
        <w:rPr>
          <w:rStyle w:val="C3"/>
          <w:rFonts w:ascii="Microsoft YaHei UI" w:hAnsi="Microsoft YaHei UI"/>
        </w:rPr>
        <w:t>　　（二）到教学、科研、生产单位进修；</w:t>
      </w:r>
    </w:p>
    <w:p>
      <w:pPr>
        <w:pStyle w:val="P1"/>
        <w:spacing w:lineRule="exact" w:line="560"/>
        <w:contextualSpacing w:val="1"/>
        <w:rPr>
          <w:rStyle w:val="C3"/>
          <w:rFonts w:ascii="仿宋_GB2312" w:hAnsi="仿宋_GB2312"/>
        </w:rPr>
      </w:pPr>
      <w:r>
        <w:rPr>
          <w:rStyle w:val="C3"/>
          <w:rFonts w:ascii="Microsoft YaHei UI" w:hAnsi="Microsoft YaHei UI"/>
        </w:rPr>
        <w:t>　　（三）参加国内外学术会议和学术讲座；</w:t>
      </w:r>
    </w:p>
    <w:p>
      <w:pPr>
        <w:pStyle w:val="P1"/>
        <w:spacing w:lineRule="exact" w:line="560"/>
        <w:contextualSpacing w:val="1"/>
        <w:rPr>
          <w:rStyle w:val="C3"/>
          <w:rFonts w:ascii="仿宋_GB2312" w:hAnsi="仿宋_GB2312"/>
        </w:rPr>
      </w:pPr>
      <w:r>
        <w:rPr>
          <w:rStyle w:val="C3"/>
          <w:rFonts w:ascii="Microsoft YaHei UI" w:hAnsi="Microsoft YaHei UI"/>
        </w:rPr>
        <w:t>　　（四）出国、出境进修、考察、培训；</w:t>
      </w:r>
    </w:p>
    <w:p>
      <w:pPr>
        <w:pStyle w:val="P1"/>
        <w:spacing w:lineRule="exact" w:line="560"/>
        <w:contextualSpacing w:val="1"/>
        <w:rPr>
          <w:rStyle w:val="C3"/>
          <w:rFonts w:ascii="仿宋_GB2312" w:hAnsi="仿宋_GB2312"/>
        </w:rPr>
      </w:pPr>
      <w:r>
        <w:rPr>
          <w:rStyle w:val="C3"/>
          <w:rFonts w:ascii="Microsoft YaHei UI" w:hAnsi="Microsoft YaHei UI"/>
        </w:rPr>
        <w:t>　　（五）通过公众传播媒体和互联网接受远程教育；</w:t>
      </w:r>
    </w:p>
    <w:p>
      <w:pPr>
        <w:pStyle w:val="P1"/>
        <w:spacing w:lineRule="exact" w:line="560"/>
        <w:contextualSpacing w:val="1"/>
        <w:rPr>
          <w:rStyle w:val="C3"/>
          <w:rFonts w:ascii="仿宋_GB2312" w:hAnsi="仿宋_GB2312"/>
        </w:rPr>
      </w:pPr>
      <w:r>
        <w:rPr>
          <w:rStyle w:val="C3"/>
          <w:rFonts w:ascii="Microsoft YaHei UI" w:hAnsi="Microsoft YaHei UI"/>
        </w:rPr>
        <w:t>　　（六）参加其他形式的继续教育活动。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专业技术人员和管理人员脱产、半脱产接受继续教育的时间，每人每年累计不得少于十二天；具有高级专业技术职称和从事高新技术工作的专业技术人员脱产、半脱产接受继续教育的时间，每人每年累计不得少于十八天。接受继续教育的时间，可以集中使用，也可以分散使用。</w:t>
      </w:r>
    </w:p>
    <w:p>
      <w:pPr>
        <w:pStyle w:val="P1"/>
        <w:spacing w:lineRule="exact" w:line="560"/>
        <w:contextualSpacing w:val="1"/>
        <w:rPr>
          <w:rStyle w:val="C3"/>
          <w:rFonts w:ascii="仿宋_GB2312" w:hAnsi="仿宋_GB2312"/>
        </w:rPr>
      </w:pPr>
      <w:r>
        <w:rPr>
          <w:rStyle w:val="C3"/>
          <w:rFonts w:ascii="Microsoft YaHei UI" w:hAnsi="Microsoft YaHei UI"/>
        </w:rPr>
        <w:t>　　专业技术人员和管理人员脱产、半脱产接受继续教育期间，工资福利待遇不变。单位与个人另有约定的除外。</w:t>
      </w:r>
    </w:p>
    <w:p>
      <w:pPr>
        <w:pStyle w:val="P1"/>
        <w:spacing w:lineRule="exact" w:line="560"/>
        <w:contextualSpacing w:val="1"/>
        <w:rPr>
          <w:rStyle w:val="C3"/>
          <w:rFonts w:ascii="仿宋_GB2312" w:hAnsi="仿宋_GB2312"/>
        </w:rPr>
      </w:pPr>
      <w:r>
        <w:rPr>
          <w:rStyle w:val="C3"/>
          <w:rFonts w:ascii="Microsoft YaHei UI" w:hAnsi="Microsoft YaHei UI"/>
        </w:rPr>
        <w:t>　　鼓励企业、事业单位增加安排专业技术人员和管理人员接受继续教育的时间。倡导专业技术人员和管理人员在完成本单位安排的继续教育任务之外，利用业余时间参加继续教育。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经营困难的单位，根据本单位的实际情况确定相应的继续教育办法，要利用停产、半停产或者转产的空余时间，组织专业技术人员和管理人员开展继续教育。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继续教育费用由国家、单位和个人多种渠道解决。</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市和区、县人民政府应当将继续教育管理工作经费列入本级政府财政预算。</w:t>
      </w:r>
    </w:p>
    <w:p>
      <w:pPr>
        <w:pStyle w:val="P1"/>
        <w:spacing w:lineRule="exact" w:line="560"/>
        <w:contextualSpacing w:val="1"/>
        <w:rPr>
          <w:rStyle w:val="C3"/>
          <w:rFonts w:ascii="仿宋_GB2312" w:hAnsi="仿宋_GB2312"/>
        </w:rPr>
      </w:pPr>
      <w:r>
        <w:rPr>
          <w:rStyle w:val="C3"/>
          <w:rFonts w:ascii="Microsoft YaHei UI" w:hAnsi="Microsoft YaHei UI"/>
        </w:rPr>
        <w:t>　　企业、事业单位应当保证继续教育所需经费不低于国家规定的标准，其费用从职工教育经费中列支。开发新技术、研制新产品和进行课题研究的继续教育费用，可以在管理费用和项目资金中安排。</w:t>
      </w:r>
    </w:p>
    <w:p>
      <w:pPr>
        <w:pStyle w:val="P1"/>
        <w:spacing w:lineRule="exact" w:line="560"/>
        <w:contextualSpacing w:val="1"/>
        <w:rPr>
          <w:rStyle w:val="C3"/>
          <w:rFonts w:ascii="仿宋_GB2312" w:hAnsi="仿宋_GB2312"/>
        </w:rPr>
      </w:pPr>
      <w:r>
        <w:rPr>
          <w:rStyle w:val="C3"/>
          <w:rFonts w:ascii="Microsoft YaHei UI" w:hAnsi="Microsoft YaHei UI"/>
        </w:rPr>
        <w:t>　　企业、事业单位可以根据国家有关规定接受社会组织和个人对继续教育事业的捐助。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市人事行政部门应当根据需要，确定通用知识、技能等继续教育的公共科目，制定计划并组织、协调有关部门实施。</w:t>
      </w:r>
    </w:p>
    <w:p>
      <w:pPr>
        <w:pStyle w:val="P1"/>
        <w:spacing w:lineRule="exact" w:line="560"/>
        <w:contextualSpacing w:val="1"/>
        <w:rPr>
          <w:rStyle w:val="C3"/>
          <w:rFonts w:ascii="仿宋_GB2312" w:hAnsi="仿宋_GB2312"/>
        </w:rPr>
      </w:pPr>
      <w:r>
        <w:rPr>
          <w:rStyle w:val="C3"/>
          <w:rFonts w:ascii="Microsoft YaHei UI" w:hAnsi="Microsoft YaHei UI"/>
        </w:rPr>
        <w:t>　　市行业主管部门和行业组织应当根据行业的发展趋势，确定继续教育导向性内容，编写继续教育科目指南，组织继续教育示范活动，指导本行业的继续教育工作。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继续教育的师资可以聘请具有较高理论水平、实践经验丰富的专家和具有高中级专业技术职称的人员担任，坚持专、兼职相结合以兼职为主的原则。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高等院校和取得办学资格的科研院所、社会团体、大中型企业的培训机构及其他办学单位，是实施继续教育的重要基地，可以发挥自身优势，按照国家和本市有关规定，面向社会开展相关专业的继续教育活动。</w:t>
      </w:r>
    </w:p>
    <w:p>
      <w:pPr>
        <w:pStyle w:val="P1"/>
        <w:spacing w:lineRule="exact" w:line="560"/>
        <w:contextualSpacing w:val="1"/>
        <w:rPr>
          <w:rStyle w:val="C3"/>
          <w:rFonts w:ascii="仿宋_GB2312" w:hAnsi="仿宋_GB2312"/>
        </w:rPr>
      </w:pPr>
      <w:r>
        <w:rPr>
          <w:rStyle w:val="C3"/>
          <w:rFonts w:ascii="Microsoft YaHei UI" w:hAnsi="Microsoft YaHei UI"/>
        </w:rPr>
        <w:t>　　办学单位开展继续教育活动时，应当保证教学质量，并接受有关部门的指导和监督。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专业技术人员和管理人员应当遵守国家和本市有关继续教育的规定，遵守所在单位的继续教育管理制度，服从单位安排。接受继续教育后，有义务为本单位更好地服务。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专业技术人员和管理人员接受继续教育的权利受到侵害时，可以向所在单位的上级主管部门提出申诉；无主管部门的单位可以向所在区、县人事行政部门提出申诉。接受申诉的部门应当在收到申诉书之日起三十日内作出处理决定，并答复本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企业、事业单位可以根据需要，同在国内连续脱产接受继续教育学习半年以上、半脱产学习一年以上，以及被派出国、出境进修、培训的专业技术人员和管理人员，就接受继续教育后为本单位服务的年限和违约责任等事项签订书面协议。</w:t>
      </w:r>
    </w:p>
    <w:p>
      <w:pPr>
        <w:pStyle w:val="P1"/>
        <w:spacing w:lineRule="exact" w:line="560"/>
        <w:contextualSpacing w:val="1"/>
        <w:rPr>
          <w:rStyle w:val="C3"/>
          <w:rFonts w:ascii="仿宋_GB2312" w:hAnsi="仿宋_GB2312"/>
        </w:rPr>
      </w:pPr>
      <w:r>
        <w:rPr>
          <w:rStyle w:val="C3"/>
          <w:rFonts w:ascii="Microsoft YaHei UI" w:hAnsi="Microsoft YaHei UI"/>
        </w:rPr>
        <w:t>　　因履行协议发生争议的，分别按照劳动争议和人事争议的有关规定解决。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本市实行继续教育登记制度。专业技术人员和管理人员的所在单位应当将其学习情况和考核结果在继续教育证书上登记。</w:t>
      </w:r>
    </w:p>
    <w:p>
      <w:pPr>
        <w:pStyle w:val="P1"/>
        <w:spacing w:lineRule="exact" w:line="560"/>
        <w:contextualSpacing w:val="1"/>
        <w:rPr>
          <w:rStyle w:val="C3"/>
          <w:rFonts w:ascii="仿宋_GB2312" w:hAnsi="仿宋_GB2312"/>
        </w:rPr>
      </w:pPr>
      <w:r>
        <w:rPr>
          <w:rStyle w:val="C3"/>
          <w:rFonts w:ascii="Microsoft YaHei UI" w:hAnsi="Microsoft YaHei UI"/>
        </w:rPr>
        <w:t>　　继续教育证书应当连续记载专业技术人员和管理人员接受继续教育的情况，并将其作为考核专业技术人员和管理人员的主要内容和聘任、晋升职务的重要依据之一。</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市和区、县人民政府，行业主管部门和行业组织，应当对在继续教育工作中做出显著成绩的单位和个人进行表彰和奖励。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企业、事业单位有下列情形之一的，由市或者区、县人事行政部门批评教育、责令限期改正：</w:t>
      </w:r>
    </w:p>
    <w:p>
      <w:pPr>
        <w:pStyle w:val="P1"/>
        <w:spacing w:lineRule="exact" w:line="560"/>
        <w:contextualSpacing w:val="1"/>
        <w:rPr>
          <w:rStyle w:val="C3"/>
          <w:rFonts w:ascii="仿宋_GB2312" w:hAnsi="仿宋_GB2312"/>
        </w:rPr>
      </w:pPr>
      <w:r>
        <w:rPr>
          <w:rStyle w:val="C3"/>
          <w:rFonts w:ascii="Microsoft YaHei UI" w:hAnsi="Microsoft YaHei UI"/>
        </w:rPr>
        <w:t>　　（一）未按规定组织实施继续教育的；</w:t>
      </w:r>
    </w:p>
    <w:p>
      <w:pPr>
        <w:pStyle w:val="P1"/>
        <w:spacing w:lineRule="exact" w:line="560"/>
        <w:contextualSpacing w:val="1"/>
        <w:rPr>
          <w:rStyle w:val="C3"/>
          <w:rFonts w:ascii="仿宋_GB2312" w:hAnsi="仿宋_GB2312"/>
        </w:rPr>
      </w:pPr>
      <w:r>
        <w:rPr>
          <w:rStyle w:val="C3"/>
          <w:rFonts w:ascii="Microsoft YaHei UI" w:hAnsi="Microsoft YaHei UI"/>
        </w:rPr>
        <w:t>　　（二）未按规定保证专业技术人员和管理人员接受继续教育时间的；</w:t>
      </w:r>
    </w:p>
    <w:p>
      <w:pPr>
        <w:pStyle w:val="P1"/>
        <w:spacing w:lineRule="exact" w:line="560"/>
        <w:contextualSpacing w:val="1"/>
        <w:rPr>
          <w:rStyle w:val="C3"/>
          <w:rFonts w:ascii="仿宋_GB2312" w:hAnsi="仿宋_GB2312"/>
        </w:rPr>
      </w:pPr>
      <w:r>
        <w:rPr>
          <w:rStyle w:val="C3"/>
          <w:rFonts w:ascii="Microsoft YaHei UI" w:hAnsi="Microsoft YaHei UI"/>
        </w:rPr>
        <w:t>　　（三）未按规定保证专业技术人员和管理人员在脱产、半脱产接受继续教育期间的工资福利待遇的；</w:t>
      </w:r>
    </w:p>
    <w:p>
      <w:pPr>
        <w:pStyle w:val="P1"/>
        <w:spacing w:lineRule="exact" w:line="560"/>
        <w:contextualSpacing w:val="1"/>
        <w:rPr>
          <w:rStyle w:val="C3"/>
          <w:rFonts w:ascii="仿宋_GB2312" w:hAnsi="仿宋_GB2312"/>
        </w:rPr>
      </w:pPr>
      <w:r>
        <w:rPr>
          <w:rStyle w:val="C3"/>
          <w:rFonts w:ascii="Microsoft YaHei UI" w:hAnsi="Microsoft YaHei UI"/>
        </w:rPr>
        <w:t>　　（四）未按规定提供继续教育经费的；</w:t>
      </w:r>
    </w:p>
    <w:p>
      <w:pPr>
        <w:pStyle w:val="P1"/>
        <w:spacing w:lineRule="exact" w:line="560"/>
        <w:contextualSpacing w:val="1"/>
        <w:rPr>
          <w:rStyle w:val="C3"/>
          <w:rFonts w:ascii="仿宋_GB2312" w:hAnsi="仿宋_GB2312"/>
        </w:rPr>
      </w:pPr>
      <w:r>
        <w:rPr>
          <w:rStyle w:val="C3"/>
          <w:rFonts w:ascii="Microsoft YaHei UI" w:hAnsi="Microsoft YaHei UI"/>
        </w:rPr>
        <w:t>　　（五）未按规定对专业技术人员和管理人员接受继续教育情况进行考核、登记的。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专业技术人员和管理人员有下列情形之一的，其所在单位可以根据不同情节，分别给予批评教育，追偿继续教育费用，并按国家和本市有关规定，扣发脱产、半脱产学习期间的工资；情节严重的，可以缓聘、解聘其专业技术职务或者管理职务：</w:t>
      </w:r>
    </w:p>
    <w:p>
      <w:pPr>
        <w:pStyle w:val="P1"/>
        <w:spacing w:lineRule="exact" w:line="560"/>
        <w:contextualSpacing w:val="1"/>
        <w:rPr>
          <w:rStyle w:val="C3"/>
          <w:rFonts w:ascii="仿宋_GB2312" w:hAnsi="仿宋_GB2312"/>
        </w:rPr>
      </w:pPr>
      <w:r>
        <w:rPr>
          <w:rStyle w:val="C3"/>
          <w:rFonts w:ascii="Microsoft YaHei UI" w:hAnsi="Microsoft YaHei UI"/>
        </w:rPr>
        <w:t>　　（一）无正当理由不服从本单位继续教育安排的；</w:t>
      </w:r>
    </w:p>
    <w:p>
      <w:pPr>
        <w:pStyle w:val="P1"/>
        <w:spacing w:lineRule="exact" w:line="560"/>
        <w:contextualSpacing w:val="1"/>
        <w:rPr>
          <w:rStyle w:val="C3"/>
          <w:rFonts w:ascii="仿宋_GB2312" w:hAnsi="仿宋_GB2312"/>
        </w:rPr>
      </w:pPr>
      <w:r>
        <w:rPr>
          <w:rStyle w:val="C3"/>
          <w:rFonts w:ascii="Microsoft YaHei UI" w:hAnsi="Microsoft YaHei UI"/>
        </w:rPr>
        <w:t>　　（二）未经单位批准，无正当理由擅自中止学习的；</w:t>
      </w:r>
    </w:p>
    <w:p>
      <w:pPr>
        <w:pStyle w:val="P1"/>
        <w:spacing w:lineRule="exact" w:line="560"/>
        <w:contextualSpacing w:val="1"/>
        <w:rPr>
          <w:rStyle w:val="C3"/>
          <w:rFonts w:ascii="仿宋_GB2312" w:hAnsi="仿宋_GB2312"/>
        </w:rPr>
      </w:pPr>
      <w:r>
        <w:rPr>
          <w:rStyle w:val="C3"/>
          <w:rFonts w:ascii="Microsoft YaHei UI" w:hAnsi="Microsoft YaHei UI"/>
        </w:rPr>
        <w:t>　　（三）学习期间违反办学单位的有关规定和制度，造成不良影响的；</w:t>
      </w:r>
    </w:p>
    <w:p>
      <w:pPr>
        <w:pStyle w:val="P1"/>
        <w:spacing w:lineRule="exact" w:line="560"/>
        <w:contextualSpacing w:val="1"/>
        <w:rPr>
          <w:rStyle w:val="C3"/>
          <w:rFonts w:ascii="仿宋_GB2312" w:hAnsi="仿宋_GB2312"/>
        </w:rPr>
      </w:pPr>
      <w:r>
        <w:rPr>
          <w:rStyle w:val="C3"/>
          <w:rFonts w:ascii="Microsoft YaHei UI" w:hAnsi="Microsoft YaHei UI"/>
        </w:rPr>
        <w:t>　　（四）未达到学习目标的要求，修业不合格的。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行政机关工作人员在继续教育工作中侵害企业、事业单位和专业技术人员、管理人员合法权益的，由其所在单位或者上级主管部门按照有关规定给予行政处分。</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本条例自</w:t>
      </w:r>
      <w:r>
        <w:rPr>
          <w:rStyle w:val="C3"/>
          <w:rFonts w:ascii="仿宋_GB2312" w:hAnsi="仿宋_GB2312"/>
        </w:rPr>
        <w:t>2002</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1989</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11</w:t>
      </w:r>
      <w:r>
        <w:rPr>
          <w:rStyle w:val="C3"/>
          <w:rFonts w:ascii="Microsoft YaHei UI" w:hAnsi="Microsoft YaHei UI"/>
        </w:rPr>
        <w:t>日天津市第十一届人民代表大会常务委员会第十一次会议通过的《天津市专业技术人员继续教育规定》同时废止。</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lastcxsplast"/>
    <w:basedOn w:val="P1"/>
    <w:next w:val="P2"/>
    <w:pPr>
      <w:widowControl w:val="1"/>
      <w:spacing w:before="100" w:after="100" w:beforeAutospacing="1" w:afterAutospacing="1"/>
      <w:jc w:val="left"/>
    </w:pPr>
    <w:rPr>
      <w:rFonts w:ascii="宋体" w:hAnsi="宋体"/>
      <w:sz w:val="24"/>
    </w:rPr>
  </w:style>
  <w:style w:type="paragraph" w:styleId="P3">
    <w:name w:val="msonormalcxspmiddle"/>
    <w:basedOn w:val="P1"/>
    <w:next w:val="P3"/>
    <w:pPr>
      <w:widowControl w:val="1"/>
      <w:spacing w:before="100" w:after="100" w:beforeAutospacing="1" w:afterAutospacing="1"/>
      <w:jc w:val="left"/>
    </w:pPr>
    <w:rPr>
      <w:rFonts w:ascii="宋体" w:hAnsi="宋体"/>
      <w:sz w:val="24"/>
    </w:rPr>
  </w:style>
  <w:style w:type="paragraph" w:styleId="P4">
    <w:name w:val="msonormalcxspmiddlecxspmiddlecxspmiddlecxspmiddlecxsplast"/>
    <w:basedOn w:val="P1"/>
    <w:next w:val="P4"/>
    <w:pPr>
      <w:widowControl w:val="1"/>
      <w:spacing w:before="100" w:after="100" w:beforeAutospacing="1" w:afterAutospacing="1"/>
      <w:jc w:val="left"/>
    </w:pPr>
    <w:rPr>
      <w:rFonts w:ascii="宋体" w:hAnsi="宋体"/>
      <w:sz w:val="24"/>
    </w:rPr>
  </w:style>
  <w:style w:type="paragraph" w:styleId="P5">
    <w:name w:val="文档结构图"/>
    <w:basedOn w:val="P1"/>
    <w:next w:val="P5"/>
    <w:pPr>
      <w:shd w:val="clear" w:fill="000080"/>
    </w:pPr>
    <w:rPr/>
  </w:style>
  <w:style w:type="paragraph" w:styleId="P6">
    <w:name w:val="页脚"/>
    <w:basedOn w:val="P1"/>
    <w:next w:val="P6"/>
    <w:link w:val="C34"/>
    <w:pPr>
      <w:widowControl w:val="1"/>
      <w:tabs>
        <w:tab w:val="center" w:pos="4153" w:leader="none"/>
        <w:tab w:val="right" w:pos="8306" w:leader="none"/>
      </w:tabs>
      <w:jc w:val="left"/>
    </w:pPr>
    <w:rPr>
      <w:rFonts w:ascii="宋体" w:hAnsi="宋体"/>
      <w:sz w:val="18"/>
    </w:rPr>
  </w:style>
  <w:style w:type="paragraph" w:styleId="P7">
    <w:name w:val="正文文本"/>
    <w:basedOn w:val="P1"/>
    <w:next w:val="P7"/>
    <w:link w:val="C22"/>
    <w:pPr/>
    <w:rPr/>
  </w:style>
  <w:style w:type="paragraph" w:styleId="P8">
    <w:name w:val="正文文本缩进"/>
    <w:basedOn w:val="P1"/>
    <w:next w:val="P8"/>
    <w:link w:val="C17"/>
    <w:pPr>
      <w:spacing w:after="120"/>
      <w:ind w:left="420"/>
    </w:pPr>
    <w:rPr/>
  </w:style>
  <w:style w:type="paragraph" w:styleId="P9">
    <w:name w:val="p16"/>
    <w:basedOn w:val="P1"/>
    <w:next w:val="P9"/>
    <w:pPr>
      <w:widowControl w:val="1"/>
      <w:spacing w:before="100" w:after="100" w:beforeAutospacing="1" w:afterAutospacing="1"/>
      <w:jc w:val="left"/>
    </w:pPr>
    <w:rPr>
      <w:rFonts w:ascii="宋体" w:hAnsi="宋体"/>
      <w:sz w:val="24"/>
    </w:rPr>
  </w:style>
  <w:style w:type="paragraph" w:styleId="P10">
    <w:name w:val="批注框文本"/>
    <w:basedOn w:val="P1"/>
    <w:next w:val="P10"/>
    <w:link w:val="C4"/>
    <w:pPr/>
    <w:rPr>
      <w:sz w:val="18"/>
    </w:rPr>
  </w:style>
  <w:style w:type="paragraph" w:styleId="P11">
    <w:name w:val="日期"/>
    <w:basedOn w:val="P1"/>
    <w:next w:val="P1"/>
    <w:pPr>
      <w:ind w:left="100"/>
    </w:pPr>
    <w:rPr>
      <w:rFonts w:ascii="仿宋_GB2312" w:hAnsi="仿宋_GB2312"/>
    </w:rPr>
  </w:style>
  <w:style w:type="paragraph" w:styleId="P12">
    <w:name w:val="正文文本缩进 2"/>
    <w:basedOn w:val="P1"/>
    <w:next w:val="P12"/>
    <w:link w:val="C19"/>
    <w:pPr>
      <w:spacing w:lineRule="auto" w:line="480" w:after="120"/>
      <w:ind w:left="420"/>
    </w:pPr>
    <w:rPr/>
  </w:style>
  <w:style w:type="paragraph" w:styleId="P13">
    <w:name w:val="纯文本"/>
    <w:basedOn w:val="P1"/>
    <w:next w:val="P13"/>
    <w:link w:val="C13"/>
    <w:pPr/>
    <w:rPr>
      <w:rFonts w:ascii="华文宋体" w:hAnsi="华文宋体"/>
    </w:rPr>
  </w:style>
  <w:style w:type="paragraph" w:styleId="P14">
    <w:name w:val="msoplaintextcxsplast"/>
    <w:basedOn w:val="P1"/>
    <w:next w:val="P14"/>
    <w:pPr>
      <w:widowControl w:val="1"/>
      <w:spacing w:before="100" w:after="100" w:beforeAutospacing="1" w:afterAutospacing="1"/>
      <w:jc w:val="left"/>
    </w:pPr>
    <w:rPr>
      <w:rFonts w:ascii="宋体" w:hAnsi="宋体"/>
      <w:sz w:val="24"/>
    </w:rPr>
  </w:style>
  <w:style w:type="paragraph" w:styleId="P15">
    <w:name w:val="页眉"/>
    <w:basedOn w:val="P1"/>
    <w:next w:val="P15"/>
    <w:link w:val="C25"/>
    <w:pPr>
      <w:pBdr>
        <w:bottom w:val="single" w:sz="6" w:space="0" w:shadow="0" w:frame="0"/>
      </w:pBdr>
      <w:tabs>
        <w:tab w:val="center" w:pos="4153" w:leader="none"/>
        <w:tab w:val="right" w:pos="8306" w:leader="none"/>
      </w:tabs>
      <w:jc w:val="center"/>
    </w:pPr>
    <w:rPr>
      <w:sz w:val="18"/>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正文文本缩进 3"/>
    <w:basedOn w:val="P1"/>
    <w:next w:val="P17"/>
    <w:link w:val="C24"/>
    <w:pPr>
      <w:spacing w:after="120"/>
      <w:ind w:left="420"/>
    </w:pPr>
    <w:rPr>
      <w:sz w:val="16"/>
    </w:rPr>
  </w:style>
  <w:style w:type="paragraph" w:styleId="P18">
    <w:name w:val="正文文本 2"/>
    <w:basedOn w:val="P1"/>
    <w:next w:val="P18"/>
    <w:link w:val="C28"/>
    <w:pPr>
      <w:spacing w:lineRule="auto" w:line="480" w:after="120"/>
    </w:pPr>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普通(网站)"/>
    <w:basedOn w:val="P1"/>
    <w:next w:val="P20"/>
    <w:link w:val="C11"/>
    <w:pPr>
      <w:widowControl w:val="1"/>
      <w:spacing w:before="100" w:after="100" w:beforeAutospacing="1" w:afterAutospacing="1"/>
      <w:jc w:val="left"/>
    </w:pPr>
    <w:rPr>
      <w:rFonts w:ascii="宋体" w:hAnsi="宋体"/>
      <w:sz w:val="24"/>
    </w:rPr>
  </w:style>
  <w:style w:type="paragraph" w:styleId="P21">
    <w:name w:val="列出段落"/>
    <w:basedOn w:val="P1"/>
    <w:next w:val="P21"/>
    <w:qFormat/>
    <w:pPr>
      <w:ind w:firstLine="420"/>
    </w:pPr>
    <w:rPr>
      <w:sz w:val="21"/>
    </w:rPr>
  </w:style>
  <w:style w:type="paragraph" w:styleId="P22">
    <w:name w:val="juzhong"/>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msonormal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Char Char Char Char"/>
    <w:basedOn w:val="P1"/>
    <w:next w:val="P25"/>
    <w:pPr>
      <w:widowControl w:val="1"/>
      <w:spacing w:lineRule="exact" w:line="240" w:after="160"/>
      <w:jc w:val="left"/>
    </w:pPr>
    <w:rPr>
      <w:rFonts w:ascii="Verdana" w:hAnsi="Verdana"/>
      <w:sz w:val="20"/>
    </w:rPr>
  </w:style>
  <w:style w:type="paragraph" w:styleId="P26">
    <w:name w:val="msonormal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
    <w:basedOn w:val="P1"/>
    <w:next w:val="P29"/>
    <w:pPr>
      <w:widowControl w:val="1"/>
      <w:spacing w:before="100" w:after="100" w:beforeAutospacing="1" w:afterAutospacing="1"/>
      <w:jc w:val="left"/>
    </w:pPr>
    <w:rPr>
      <w:rFonts w:ascii="宋体" w:hAnsi="宋体"/>
      <w:sz w:val="24"/>
    </w:rPr>
  </w:style>
  <w:style w:type="paragraph" w:styleId="P30">
    <w:name w:val="样式2"/>
    <w:basedOn w:val="P1"/>
    <w:next w:val="P30"/>
    <w:link w:val="C16"/>
    <w:pPr/>
    <w:rPr>
      <w:rFonts w:ascii="仿宋_GB2312" w:hAnsi="仿宋_GB2312"/>
      <w:b w:val="1"/>
      <w:color w:val="000000"/>
    </w:rPr>
  </w:style>
  <w:style w:type="paragraph" w:styleId="P31">
    <w:name w:val="zhang"/>
    <w:basedOn w:val="P1"/>
    <w:next w:val="P31"/>
    <w:pPr>
      <w:widowControl w:val="1"/>
      <w:spacing w:before="100" w:after="100" w:beforeAutospacing="1" w:afterAutospacing="1"/>
      <w:jc w:val="left"/>
    </w:pPr>
    <w:rPr>
      <w:rFonts w:ascii="宋体" w:hAnsi="宋体"/>
      <w:b w:val="1"/>
      <w:color w:val="000000"/>
      <w:sz w:val="20"/>
    </w:rPr>
  </w:style>
  <w:style w:type="paragraph" w:styleId="P32">
    <w:name w:val="msonormalcxspmiddlecxsplastcxspmiddle"/>
    <w:basedOn w:val="P1"/>
    <w:next w:val="P32"/>
    <w:pPr>
      <w:widowControl w:val="1"/>
      <w:spacing w:before="100" w:after="100" w:beforeAutospacing="1" w:afterAutospacing="1"/>
      <w:jc w:val="left"/>
    </w:pPr>
    <w:rPr>
      <w:rFonts w:ascii="宋体" w:hAnsi="宋体"/>
      <w:sz w:val="24"/>
    </w:rPr>
  </w:style>
  <w:style w:type="paragraph" w:styleId="P33">
    <w:name w:val="Char2"/>
    <w:basedOn w:val="P1"/>
    <w:next w:val="P33"/>
    <w:pPr/>
    <w:rPr>
      <w:rFonts w:ascii="Tahoma" w:hAnsi="Tahoma"/>
      <w:sz w:val="24"/>
    </w:rPr>
  </w:style>
  <w:style w:type="paragraph" w:styleId="P34">
    <w:name w:val="p0"/>
    <w:basedOn w:val="P1"/>
    <w:next w:val="P34"/>
    <w:pPr>
      <w:widowControl w:val="1"/>
      <w:spacing w:before="100" w:after="100" w:beforeAutospacing="1" w:afterAutospacing="1"/>
      <w:jc w:val="left"/>
    </w:pPr>
    <w:rPr>
      <w:rFonts w:ascii="宋体" w:hAnsi="宋体"/>
      <w:sz w:val="24"/>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zhangcxsplast"/>
    <w:basedOn w:val="P1"/>
    <w:next w:val="P39"/>
    <w:pPr>
      <w:widowControl w:val="1"/>
      <w:spacing w:before="100" w:after="100" w:beforeAutospacing="1" w:afterAutospacing="1"/>
      <w:jc w:val="left"/>
    </w:pPr>
    <w:rPr>
      <w:rFonts w:ascii="宋体" w:hAnsi="宋体"/>
      <w:sz w:val="24"/>
    </w:rPr>
  </w:style>
  <w:style w:type="paragraph" w:styleId="P40">
    <w:name w:val="_Style 10"/>
    <w:basedOn w:val="P1"/>
    <w:next w:val="P20"/>
    <w:pPr>
      <w:widowControl w:val="1"/>
      <w:spacing w:before="100" w:after="100" w:beforeAutospacing="1" w:afterAutospacing="1"/>
      <w:jc w:val="left"/>
    </w:pPr>
    <w:rPr>
      <w:rFonts w:ascii="Arial Unicode MS" w:hAnsi="Arial Unicode MS"/>
      <w:sz w:val="24"/>
    </w:rPr>
  </w:style>
  <w:style w:type="paragraph" w:styleId="P41">
    <w:name w:val="样式1"/>
    <w:basedOn w:val="P13"/>
    <w:next w:val="P41"/>
    <w:link w:val="C45"/>
    <w:qFormat/>
    <w:pPr>
      <w:ind w:firstLine="632"/>
    </w:pPr>
    <w:rPr>
      <w:rFonts w:ascii="楷体_GB2312" w:hAnsi="楷体_GB2312"/>
    </w:rPr>
  </w:style>
  <w:style w:type="paragraph" w:styleId="P42">
    <w:name w:val="标题3"/>
    <w:basedOn w:val="P13"/>
    <w:next w:val="P42"/>
    <w:link w:val="C46"/>
    <w:qFormat/>
    <w:pPr>
      <w:ind w:firstLine="632"/>
      <w:jc w:val="center"/>
    </w:pPr>
    <w:rPr>
      <w:rFonts w:ascii="黑体" w:hAnsi="黑体"/>
    </w:rPr>
  </w:style>
  <w:style w:type="paragraph" w:styleId="P43">
    <w:name w:val="标题1"/>
    <w:basedOn w:val="P20"/>
    <w:next w:val="P43"/>
    <w:link w:val="C43"/>
    <w:qFormat/>
    <w:pPr>
      <w:spacing w:lineRule="exact" w:line="600"/>
      <w:jc w:val="center"/>
    </w:pPr>
    <w:rPr>
      <w:rFonts w:ascii="方正小标宋简体" w:hAnsi="方正小标宋简体"/>
      <w:color w:val="000000"/>
      <w:sz w:val="32"/>
    </w:rPr>
  </w:style>
  <w:style w:type="paragraph" w:styleId="P44">
    <w:name w:val="标题2"/>
    <w:basedOn w:val="P20"/>
    <w:next w:val="P44"/>
    <w:link w:val="C41"/>
    <w:pPr>
      <w:widowControl w:val="0"/>
      <w:jc w:val="center"/>
    </w:pPr>
    <w:rPr>
      <w:rFonts w:ascii="楷体_GB2312" w:hAnsi="楷体_GB2312"/>
      <w:color w:val="000000"/>
      <w:sz w:val="32"/>
    </w:rPr>
  </w:style>
  <w:style w:type="paragraph" w:styleId="P45">
    <w:name w:val="样式3"/>
    <w:basedOn w:val="P30"/>
    <w:next w:val="P45"/>
    <w:link w:val="C47"/>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10"/>
    <w:rPr>
      <w:sz w:val="18"/>
    </w:rPr>
  </w:style>
  <w:style w:type="character" w:styleId="C5">
    <w:name w:val="日期 Char Char"/>
    <w:basedOn w:val="C3"/>
    <w:rPr>
      <w:rFonts w:ascii="仿宋_GB2312" w:hAnsi="仿宋_GB2312"/>
      <w:sz w:val="32"/>
    </w:rPr>
  </w:style>
  <w:style w:type="character" w:styleId="C6">
    <w:name w:val="强调"/>
    <w:basedOn w:val="C3"/>
    <w:qFormat/>
    <w:rPr>
      <w:color w:val="CC0000"/>
    </w:rPr>
  </w:style>
  <w:style w:type="character" w:styleId="C7">
    <w:name w:val="页码"/>
    <w:basedOn w:val="C3"/>
    <w:rPr/>
  </w:style>
  <w:style w:type="character" w:styleId="C8">
    <w:name w:val="正文文本 Char1"/>
    <w:basedOn w:val="C3"/>
    <w:rPr>
      <w:rFonts w:ascii="Times New Roman" w:hAnsi="Times New Roman"/>
      <w:sz w:val="32"/>
    </w:rPr>
  </w:style>
  <w:style w:type="character" w:styleId="C9">
    <w:name w:val="超链接"/>
    <w:basedOn w:val="C3"/>
    <w:rPr>
      <w:color w:val="0000FF"/>
      <w:u w:val="single"/>
    </w:rPr>
  </w:style>
  <w:style w:type="character" w:styleId="C10">
    <w:name w:val="要点"/>
    <w:basedOn w:val="C3"/>
    <w:qFormat/>
    <w:rPr>
      <w:b w:val="1"/>
    </w:rPr>
  </w:style>
  <w:style w:type="character" w:styleId="C11">
    <w:name w:val="普通(网站) Char"/>
    <w:basedOn w:val="C3"/>
    <w:link w:val="P20"/>
    <w:rPr>
      <w:rFonts w:ascii="宋体" w:hAnsi="宋体"/>
      <w:sz w:val="24"/>
    </w:rPr>
  </w:style>
  <w:style w:type="character" w:styleId="C12">
    <w:name w:val="HTML 预设格式 Char"/>
    <w:basedOn w:val="C3"/>
    <w:rPr>
      <w:rFonts w:ascii="宋体" w:hAnsi="宋体"/>
      <w:sz w:val="24"/>
    </w:rPr>
  </w:style>
  <w:style w:type="character" w:styleId="C13">
    <w:name w:val="纯文本 Char"/>
    <w:basedOn w:val="C3"/>
    <w:link w:val="P13"/>
    <w:rPr>
      <w:rFonts w:ascii="华文宋体" w:hAnsi="华文宋体"/>
    </w:rPr>
  </w:style>
  <w:style w:type="character" w:styleId="C14">
    <w:name w:val="纯文本 Char Char"/>
    <w:basedOn w:val="C3"/>
    <w:rPr>
      <w:rFonts w:ascii="宋体" w:hAnsi="宋体"/>
      <w:sz w:val="32"/>
    </w:rPr>
  </w:style>
  <w:style w:type="character" w:styleId="C15">
    <w:name w:val="Char Char4"/>
    <w:basedOn w:val="C3"/>
    <w:rPr>
      <w:rFonts w:ascii="文星仿宋" w:hAnsi="文星仿宋"/>
      <w:sz w:val="32"/>
    </w:rPr>
  </w:style>
  <w:style w:type="character" w:styleId="C16">
    <w:name w:val="样式2 Char Char"/>
    <w:basedOn w:val="C3"/>
    <w:link w:val="P30"/>
    <w:rPr>
      <w:rFonts w:ascii="仿宋_GB2312" w:hAnsi="仿宋_GB2312"/>
      <w:b w:val="1"/>
      <w:color w:val="000000"/>
    </w:rPr>
  </w:style>
  <w:style w:type="character" w:styleId="C17">
    <w:name w:val="正文文本缩进 Char"/>
    <w:basedOn w:val="C3"/>
    <w:link w:val="P8"/>
    <w:rPr/>
  </w:style>
  <w:style w:type="character" w:styleId="C18">
    <w:name w:val="纯文本 Char1"/>
    <w:basedOn w:val="C3"/>
    <w:rPr>
      <w:rFonts w:ascii="宋体" w:hAnsi="宋体"/>
      <w:sz w:val="21"/>
    </w:rPr>
  </w:style>
  <w:style w:type="character" w:styleId="C19">
    <w:name w:val="正文文本缩进 2 Char"/>
    <w:basedOn w:val="C3"/>
    <w:link w:val="P12"/>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7"/>
    <w:rPr/>
  </w:style>
  <w:style w:type="character" w:styleId="C23">
    <w:name w:val="test1"/>
    <w:basedOn w:val="C3"/>
    <w:rPr>
      <w:sz w:val="25"/>
    </w:rPr>
  </w:style>
  <w:style w:type="character" w:styleId="C24">
    <w:name w:val="正文文本缩进 3 Char"/>
    <w:basedOn w:val="C3"/>
    <w:link w:val="P17"/>
    <w:rPr>
      <w:sz w:val="16"/>
    </w:rPr>
  </w:style>
  <w:style w:type="character" w:styleId="C25">
    <w:name w:val="页眉 Char"/>
    <w:basedOn w:val="C3"/>
    <w:link w:val="P15"/>
    <w:rPr>
      <w:sz w:val="18"/>
    </w:rPr>
  </w:style>
  <w:style w:type="character" w:styleId="C26">
    <w:name w:val="页眉 Char Char"/>
    <w:basedOn w:val="C3"/>
    <w:rPr>
      <w:sz w:val="18"/>
    </w:rPr>
  </w:style>
  <w:style w:type="character" w:styleId="C27">
    <w:name w:val="正文文本 Char Char"/>
    <w:basedOn w:val="C3"/>
    <w:rPr>
      <w:sz w:val="32"/>
    </w:rPr>
  </w:style>
  <w:style w:type="character" w:styleId="C28">
    <w:name w:val="正文文本 2 Char"/>
    <w:basedOn w:val="C3"/>
    <w:link w:val="P18"/>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6"/>
    <w:rPr>
      <w:rFonts w:ascii="宋体" w:hAnsi="宋体"/>
      <w:sz w:val="18"/>
    </w:rPr>
  </w:style>
  <w:style w:type="character" w:styleId="C35">
    <w:name w:val="正文文本缩进 2 Char Char"/>
    <w:basedOn w:val="C3"/>
    <w:rPr>
      <w:b w:val="1"/>
      <w:sz w:val="32"/>
    </w:rPr>
  </w:style>
  <w:style w:type="character" w:styleId="C36">
    <w:name w:val="页脚 Char1"/>
    <w:basedOn w:val="C3"/>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标题2 Char Char"/>
    <w:basedOn w:val="C11"/>
    <w:link w:val="P44"/>
    <w:rPr>
      <w:rFonts w:ascii="楷体_GB2312" w:hAnsi="楷体_GB2312"/>
      <w:color w:val="000000"/>
      <w:sz w:val="32"/>
    </w:rPr>
  </w:style>
  <w:style w:type="character" w:styleId="C42">
    <w:name w:val="标题1 Char"/>
    <w:basedOn w:val="C11"/>
    <w:rPr>
      <w:rFonts w:ascii="方正小标宋简体" w:hAnsi="方正小标宋简体"/>
      <w:color w:val="000000"/>
      <w:sz w:val="32"/>
    </w:rPr>
  </w:style>
  <w:style w:type="character" w:styleId="C43">
    <w:name w:val="标题1 Char Char"/>
    <w:basedOn w:val="C11"/>
    <w:link w:val="P43"/>
    <w:rPr>
      <w:rFonts w:ascii="方正小标宋简体" w:hAnsi="方正小标宋简体"/>
      <w:color w:val="000000"/>
      <w:sz w:val="32"/>
    </w:rPr>
  </w:style>
  <w:style w:type="character" w:styleId="C44">
    <w:name w:val="标题2 Char"/>
    <w:basedOn w:val="C11"/>
    <w:rPr>
      <w:rFonts w:ascii="楷体_GB2312" w:hAnsi="楷体_GB2312"/>
      <w:color w:val="000000"/>
      <w:sz w:val="32"/>
    </w:rPr>
  </w:style>
  <w:style w:type="character" w:styleId="C45">
    <w:name w:val="样式1 Char Char"/>
    <w:basedOn w:val="C13"/>
    <w:link w:val="P41"/>
    <w:rPr>
      <w:rFonts w:ascii="楷体_GB2312" w:hAnsi="楷体_GB2312"/>
    </w:rPr>
  </w:style>
  <w:style w:type="character" w:styleId="C46">
    <w:name w:val="标题3 Char Char"/>
    <w:basedOn w:val="C13"/>
    <w:link w:val="P42"/>
    <w:rPr>
      <w:rFonts w:ascii="黑体" w:hAnsi="黑体"/>
    </w:rPr>
  </w:style>
  <w:style w:type="character" w:styleId="C47">
    <w:name w:val="样式3 Char Char"/>
    <w:basedOn w:val="C16"/>
    <w:link w:val="P45"/>
    <w:rPr/>
  </w:style>
  <w:style w:type="character" w:styleId="C48">
    <w:name w:val="标题3 Char"/>
    <w:basedOn w:val="C18"/>
    <w:rPr>
      <w:rFonts w:ascii="黑体" w:hAnsi="黑体"/>
      <w:sz w:val="32"/>
    </w:rPr>
  </w:style>
  <w:style w:type="character" w:styleId="C49">
    <w:name w:val="样式1 Char"/>
    <w:basedOn w:val="C18"/>
    <w:rPr>
      <w:rFonts w:ascii="楷体_GB2312" w:hAnsi="楷体_GB2312"/>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2024-08-28T01:34:21Z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