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B420CB" Type="http://schemas.openxmlformats.org/officeDocument/2006/relationships/officeDocument" Target="/word/document.xml" /><Relationship Id="coreR7DB420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rPr>
      </w:pPr>
    </w:p>
    <w:p>
      <w:pPr>
        <w:pStyle w:val="P9"/>
        <w:widowControl w:val="0"/>
        <w:spacing w:lineRule="exact" w:line="580" w:before="0" w:after="0" w:beforeAutospacing="0" w:afterAutospacing="0"/>
        <w:ind w:firstLine="884"/>
        <w:jc w:val="center"/>
        <w:rPr>
          <w:rStyle w:val="C5"/>
          <w:rFonts w:ascii="黑体" w:hAnsi="黑体"/>
          <w:sz w:val="32"/>
        </w:rPr>
      </w:pPr>
    </w:p>
    <w:p>
      <w:pPr>
        <w:pStyle w:val="P9"/>
        <w:widowControl w:val="0"/>
        <w:spacing w:lineRule="exact" w:line="580" w:before="0" w:after="0" w:beforeAutospacing="0" w:afterAutospacing="0"/>
        <w:jc w:val="center"/>
        <w:rPr>
          <w:rStyle w:val="C5"/>
          <w:b w:val="0"/>
          <w:sz w:val="44"/>
        </w:rPr>
      </w:pPr>
      <w:r>
        <w:rPr>
          <w:rStyle w:val="C5"/>
          <w:b w:val="1"/>
          <w:sz w:val="44"/>
        </w:rPr>
        <w:t>银川市牌匾标识管理条例</w:t>
      </w:r>
    </w:p>
    <w:p>
      <w:pPr>
        <w:pStyle w:val="P9"/>
        <w:widowControl w:val="0"/>
        <w:spacing w:lineRule="exact" w:line="580" w:before="0" w:after="0" w:beforeAutospacing="0" w:afterAutospacing="0"/>
        <w:ind w:firstLine="633"/>
        <w:rPr>
          <w:rStyle w:val="C3"/>
          <w:rFonts w:ascii="仿宋_GB2312" w:hAnsi="仿宋_GB2312"/>
          <w:b w:val="1"/>
          <w:sz w:val="32"/>
        </w:rPr>
      </w:pPr>
    </w:p>
    <w:p>
      <w:pPr>
        <w:pStyle w:val="P9"/>
        <w:widowControl w:val="0"/>
        <w:spacing w:lineRule="exact" w:line="580" w:before="0" w:after="0" w:beforeAutospacing="0" w:afterAutospacing="0"/>
        <w:ind w:firstLine="2" w:left="707" w:right="73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日银川市第十三届人民代表大会常务委员会第十九次会议通过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日宁夏回族自治区第十届人民代表大会常务委员会第二十次会议批准）</w:t>
      </w:r>
    </w:p>
    <w:p>
      <w:pPr>
        <w:pStyle w:val="P9"/>
        <w:widowControl w:val="0"/>
        <w:spacing w:lineRule="exact" w:line="580" w:before="0" w:after="0" w:beforeAutospacing="0" w:afterAutospacing="0"/>
        <w:ind w:firstLine="633"/>
        <w:rPr>
          <w:rStyle w:val="C3"/>
          <w:rFonts w:ascii="仿宋_GB2312" w:hAnsi="仿宋_GB2312"/>
          <w:b w:val="1"/>
          <w:sz w:val="32"/>
        </w:rPr>
      </w:pP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为了加强牌匾标识管理，规范牌匾标识设置行为，根据有关法律、法规，制定本条例。</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本条例所称牌匾标识，是指单位和个人利用自有或租赁的建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筑物设置的以牌匾、灯箱、霓虹灯、单体字等为载体表示单位或商户名称、字号和标志。</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Microsoft YaHei UI" w:hAnsi="Microsoft YaHei UI"/>
          <w:sz w:val="32"/>
        </w:rPr>
        <w:t>牌匾标识应只显示名称、字号和标志，不得含有其他商业性宣传内容。附带商业宣传内容的，按照户外广告设置管理有关规定执行。</w:t>
      </w:r>
    </w:p>
    <w:p>
      <w:pPr>
        <w:pStyle w:val="P1"/>
        <w:spacing w:lineRule="exact" w:line="580"/>
        <w:ind w:firstLine="613"/>
        <w:jc w:val="left"/>
        <w:rPr>
          <w:rStyle w:val="C3"/>
          <w:rFonts w:ascii="仿宋_GB2312" w:hAnsi="仿宋_GB2312"/>
        </w:rPr>
      </w:pPr>
      <w:bookmarkStart w:id="0" w:name="4"/>
      <w:r>
        <w:rPr>
          <w:rStyle w:val="C3"/>
          <w:rFonts w:ascii="黑体" w:hAnsi="黑体"/>
          <w:color w:val="000000"/>
        </w:rPr>
        <w:t>第三条</w:t>
      </w:r>
      <w:bookmarkEnd w:id="0"/>
      <w:r>
        <w:rPr>
          <w:rStyle w:val="C3"/>
          <w:rFonts w:ascii="仿宋_GB2312" w:hAnsi="仿宋_GB2312"/>
        </w:rPr>
        <w:t xml:space="preserve"> </w:t>
      </w:r>
      <w:r>
        <w:rPr>
          <w:rStyle w:val="C3"/>
          <w:rFonts w:ascii="Microsoft YaHei UI" w:hAnsi="Microsoft YaHei UI"/>
        </w:rPr>
        <w:t>市城市管理部门负责全市</w:t>
      </w:r>
      <w:r>
        <w:rPr>
          <w:rStyle w:val="C5"/>
          <w:rFonts w:ascii="Microsoft YaHei UI" w:hAnsi="Microsoft YaHei UI"/>
          <w:b w:val="1"/>
        </w:rPr>
        <w:t>牌匾标识管理的业务指导和监督检查。</w:t>
      </w:r>
    </w:p>
    <w:p>
      <w:pPr>
        <w:pStyle w:val="P1"/>
        <w:spacing w:lineRule="exact" w:line="580"/>
        <w:ind w:firstLine="613"/>
        <w:jc w:val="left"/>
        <w:rPr>
          <w:rStyle w:val="C3"/>
          <w:rFonts w:ascii="仿宋_GB2312" w:hAnsi="仿宋_GB2312"/>
        </w:rPr>
      </w:pPr>
      <w:r>
        <w:rPr>
          <w:rStyle w:val="C3"/>
          <w:rFonts w:ascii="Microsoft YaHei UI" w:hAnsi="Microsoft YaHei UI"/>
        </w:rPr>
        <w:t>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城市管理部门负责本辖区内牌匾标识设置的管理工作。</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市城市管理部门应当会同市城市规划、建设、住房保障等部门制定兴庆区、金凤区、西夏区范围内的牌匾标识设置规划，报市人民政府批准后，由三区城市管理部门负责实施。</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Microsoft YaHei UI" w:hAnsi="Microsoft YaHei UI"/>
          <w:sz w:val="32"/>
        </w:rPr>
        <w:t>永宁县、贺兰县、灵武市城市管理部门负责制定本辖区内牌匾标识设置规划，报本级人民政府批准后实施。</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牌匾标识的设置规划应当适应街区文化特点，与主体建筑风格和周边市容景观相谐调。</w:t>
      </w:r>
    </w:p>
    <w:p>
      <w:pPr>
        <w:pStyle w:val="P1"/>
        <w:spacing w:lineRule="exact" w:line="580"/>
        <w:ind w:firstLine="613"/>
        <w:jc w:val="left"/>
        <w:rPr>
          <w:rStyle w:val="C3"/>
          <w:rFonts w:ascii="仿宋_GB2312" w:hAnsi="仿宋_GB2312"/>
          <w:color w:val="000000"/>
        </w:rPr>
      </w:pPr>
      <w:r>
        <w:rPr>
          <w:rStyle w:val="C3"/>
          <w:rFonts w:ascii="黑体" w:hAnsi="黑体"/>
          <w:color w:val="000000"/>
        </w:rPr>
        <w:t>第六条</w:t>
      </w:r>
      <w:r>
        <w:rPr>
          <w:rStyle w:val="C3"/>
          <w:rFonts w:ascii="仿宋_GB2312" w:hAnsi="仿宋_GB2312"/>
          <w:b w:val="1"/>
        </w:rPr>
        <w:t xml:space="preserve"> </w:t>
      </w:r>
      <w:r>
        <w:rPr>
          <w:rStyle w:val="C3"/>
          <w:rFonts w:ascii="Microsoft YaHei UI" w:hAnsi="Microsoft YaHei UI"/>
        </w:rPr>
        <w:t>单位名称牌匾标识和建筑物名称牌匾标识应当根据有关规定或者按照传统习惯，设置在建筑物的檐口下方、底层门楣上方、建筑物临街方向的墙体上。</w:t>
      </w:r>
    </w:p>
    <w:p>
      <w:pPr>
        <w:pStyle w:val="P9"/>
        <w:widowControl w:val="0"/>
        <w:spacing w:lineRule="exact" w:line="580" w:before="0" w:after="0" w:beforeAutospacing="0" w:afterAutospacing="0"/>
        <w:ind w:firstLine="688"/>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设置牌匾标识应当符合下列要求：</w:t>
      </w:r>
    </w:p>
    <w:p>
      <w:pPr>
        <w:pStyle w:val="P9"/>
        <w:widowControl w:val="0"/>
        <w:spacing w:lineRule="exact" w:line="580" w:before="0" w:after="0" w:beforeAutospacing="0" w:afterAutospacing="0"/>
        <w:ind w:firstLine="534"/>
        <w:rPr>
          <w:rStyle w:val="C3"/>
          <w:rFonts w:ascii="仿宋_GB2312" w:hAnsi="仿宋_GB2312"/>
          <w:sz w:val="32"/>
        </w:rPr>
      </w:pPr>
      <w:r>
        <w:rPr>
          <w:rStyle w:val="C3"/>
          <w:rFonts w:ascii="Microsoft YaHei UI" w:hAnsi="Microsoft YaHei UI"/>
          <w:sz w:val="32"/>
        </w:rPr>
        <w:t>（一）牌匾标识的设置施行</w:t>
      </w:r>
      <w:r>
        <w:rPr>
          <w:rStyle w:val="C3"/>
          <w:rFonts w:ascii="仿宋_GB2312" w:hAnsi="仿宋_GB2312"/>
          <w:sz w:val="32"/>
        </w:rPr>
        <w:t>“</w:t>
      </w:r>
      <w:r>
        <w:rPr>
          <w:rStyle w:val="C3"/>
          <w:rFonts w:ascii="Microsoft YaHei UI" w:hAnsi="Microsoft YaHei UI"/>
          <w:sz w:val="32"/>
        </w:rPr>
        <w:t>一店一牌</w:t>
      </w:r>
      <w:r>
        <w:rPr>
          <w:rStyle w:val="C3"/>
          <w:rFonts w:ascii="仿宋_GB2312" w:hAnsi="仿宋_GB2312"/>
          <w:sz w:val="32"/>
        </w:rPr>
        <w:t>”</w:t>
      </w:r>
      <w:r>
        <w:rPr>
          <w:rStyle w:val="C3"/>
          <w:rFonts w:ascii="Microsoft YaHei UI" w:hAnsi="Microsoft YaHei UI"/>
          <w:sz w:val="32"/>
        </w:rPr>
        <w:t>；</w:t>
      </w:r>
    </w:p>
    <w:p>
      <w:pPr>
        <w:pStyle w:val="P9"/>
        <w:widowControl w:val="0"/>
        <w:spacing w:lineRule="exact" w:line="580" w:before="0" w:after="0" w:beforeAutospacing="0" w:afterAutospacing="0"/>
        <w:ind w:firstLine="534"/>
        <w:rPr>
          <w:rStyle w:val="C3"/>
          <w:rFonts w:ascii="仿宋_GB2312" w:hAnsi="仿宋_GB2312"/>
          <w:sz w:val="32"/>
        </w:rPr>
      </w:pPr>
      <w:r>
        <w:rPr>
          <w:rStyle w:val="C3"/>
          <w:rFonts w:ascii="Microsoft YaHei UI" w:hAnsi="Microsoft YaHei UI"/>
          <w:sz w:val="32"/>
        </w:rPr>
        <w:t>（二）牌匾标识的设置应当符合牌匾标识设置规划要求，达到美化环境，夜晚与灯光夜景相结合的整体效果；</w:t>
      </w:r>
    </w:p>
    <w:p>
      <w:pPr>
        <w:pStyle w:val="P9"/>
        <w:widowControl w:val="0"/>
        <w:spacing w:lineRule="exact" w:line="580" w:before="0" w:after="0" w:beforeAutospacing="0" w:afterAutospacing="0"/>
        <w:ind w:firstLine="534"/>
        <w:rPr>
          <w:rStyle w:val="C3"/>
          <w:rFonts w:ascii="仿宋_GB2312" w:hAnsi="仿宋_GB2312"/>
          <w:sz w:val="32"/>
        </w:rPr>
      </w:pPr>
      <w:r>
        <w:rPr>
          <w:rStyle w:val="C3"/>
          <w:rFonts w:ascii="Microsoft YaHei UI" w:hAnsi="Microsoft YaHei UI"/>
          <w:sz w:val="32"/>
        </w:rPr>
        <w:t>（三）银行、邮政、电信、连锁经营等机构设置的牌匾标识，在不影响所在街道整体风格的情况下，可依照其统一风格设置；</w:t>
      </w:r>
    </w:p>
    <w:p>
      <w:pPr>
        <w:pStyle w:val="P9"/>
        <w:widowControl w:val="0"/>
        <w:spacing w:lineRule="exact" w:line="580" w:before="0" w:after="0" w:beforeAutospacing="0" w:afterAutospacing="0"/>
        <w:ind w:firstLine="534"/>
        <w:rPr>
          <w:rStyle w:val="C3"/>
          <w:rFonts w:ascii="仿宋_GB2312" w:hAnsi="仿宋_GB2312"/>
          <w:sz w:val="32"/>
        </w:rPr>
      </w:pPr>
      <w:r>
        <w:rPr>
          <w:rStyle w:val="C3"/>
          <w:rFonts w:ascii="Microsoft YaHei UI" w:hAnsi="Microsoft YaHei UI"/>
          <w:sz w:val="32"/>
        </w:rPr>
        <w:t>（四）牌匾标识用字必须符合《中华人民共和国国家通用语言文字法》的规定，书写规范，字迹清晰。</w:t>
      </w:r>
    </w:p>
    <w:p>
      <w:pPr>
        <w:pStyle w:val="P9"/>
        <w:widowControl w:val="0"/>
        <w:spacing w:lineRule="exact" w:line="580" w:before="0" w:after="0" w:beforeAutospacing="0" w:afterAutospacing="0"/>
        <w:ind w:firstLine="68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多家单位共用同一建筑物或场所设置牌匾标识的，应当符合下列规定：</w:t>
      </w:r>
    </w:p>
    <w:p>
      <w:pPr>
        <w:pStyle w:val="P9"/>
        <w:widowControl w:val="0"/>
        <w:spacing w:lineRule="exact" w:line="580" w:before="0" w:after="0" w:beforeAutospacing="0" w:afterAutospacing="0"/>
        <w:ind w:firstLine="688"/>
        <w:rPr>
          <w:rStyle w:val="C3"/>
          <w:rFonts w:ascii="仿宋_GB2312" w:hAnsi="仿宋_GB2312"/>
          <w:sz w:val="32"/>
        </w:rPr>
      </w:pPr>
      <w:r>
        <w:rPr>
          <w:rStyle w:val="C3"/>
          <w:rFonts w:ascii="Microsoft YaHei UI" w:hAnsi="Microsoft YaHei UI"/>
          <w:sz w:val="32"/>
        </w:rPr>
        <w:t>（一）对外有独立出入口的，由物业管理部门协调，制作统一规格样式的牌匾标识；</w:t>
      </w:r>
    </w:p>
    <w:p>
      <w:pPr>
        <w:pStyle w:val="P9"/>
        <w:widowControl w:val="0"/>
        <w:spacing w:lineRule="exact" w:line="580" w:before="0" w:after="0" w:beforeAutospacing="0" w:afterAutospacing="0"/>
        <w:ind w:firstLine="688"/>
        <w:rPr>
          <w:rStyle w:val="C3"/>
          <w:rFonts w:ascii="仿宋_GB2312" w:hAnsi="仿宋_GB2312"/>
          <w:sz w:val="32"/>
        </w:rPr>
      </w:pPr>
      <w:r>
        <w:rPr>
          <w:rStyle w:val="C3"/>
          <w:rFonts w:ascii="Microsoft YaHei UI" w:hAnsi="Microsoft YaHei UI"/>
          <w:sz w:val="32"/>
        </w:rPr>
        <w:t>（二）对外无独立出入口的，应当由物业管理部门协调，在建筑物内指定位置设置统一的牌匾标识，任何单位不得单独在建筑物外立面设置牌匾标识。</w:t>
      </w:r>
    </w:p>
    <w:p>
      <w:pPr>
        <w:pStyle w:val="P9"/>
        <w:widowControl w:val="0"/>
        <w:spacing w:lineRule="exact" w:line="580" w:before="0" w:after="0" w:beforeAutospacing="0" w:afterAutospacing="0"/>
        <w:ind w:firstLine="68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设置牌匾标识应当向所在地城市管理部门提出申请，并提交下列材料：</w:t>
      </w:r>
    </w:p>
    <w:p>
      <w:pPr>
        <w:pStyle w:val="P9"/>
        <w:widowControl w:val="0"/>
        <w:spacing w:lineRule="exact" w:line="580" w:before="0" w:after="0" w:beforeAutospacing="0" w:afterAutospacing="0"/>
        <w:ind w:firstLine="390"/>
        <w:rPr>
          <w:rStyle w:val="C3"/>
          <w:rFonts w:ascii="仿宋_GB2312" w:hAnsi="仿宋_GB2312"/>
          <w:sz w:val="32"/>
        </w:rPr>
      </w:pPr>
      <w:r>
        <w:rPr>
          <w:rStyle w:val="C3"/>
          <w:rFonts w:ascii="Microsoft YaHei UI" w:hAnsi="Microsoft YaHei UI"/>
          <w:sz w:val="32"/>
        </w:rPr>
        <w:t>（一）书面申请、营业执照、设置牌匾标识与建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筑物的正立面图及彩色效果图。</w:t>
      </w:r>
    </w:p>
    <w:p>
      <w:pPr>
        <w:pStyle w:val="P9"/>
        <w:widowControl w:val="0"/>
        <w:spacing w:lineRule="exact" w:line="580" w:before="0" w:after="0" w:beforeAutospacing="0" w:afterAutospacing="0"/>
        <w:ind w:firstLine="390"/>
        <w:rPr>
          <w:rStyle w:val="C3"/>
          <w:rFonts w:ascii="仿宋_GB2312" w:hAnsi="仿宋_GB2312"/>
          <w:sz w:val="32"/>
        </w:rPr>
      </w:pPr>
      <w:r>
        <w:rPr>
          <w:rStyle w:val="C3"/>
          <w:rFonts w:ascii="Microsoft YaHei UI" w:hAnsi="Microsoft YaHei UI"/>
          <w:sz w:val="32"/>
        </w:rPr>
        <w:t>（二）设置牌匾标识的建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筑物所有权、使用权证明文件，或与有关所有权、使用权单位签订的使用协议等。</w:t>
      </w:r>
    </w:p>
    <w:p>
      <w:pPr>
        <w:pStyle w:val="P9"/>
        <w:widowControl w:val="0"/>
        <w:spacing w:lineRule="exact" w:line="580" w:before="0" w:after="0" w:beforeAutospacing="0" w:afterAutospacing="0"/>
        <w:ind w:firstLine="39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城市管理部门应当自收到牌匾标识设置单位提交的上款规定的材料后，五个工作日内给予批复。</w:t>
      </w:r>
    </w:p>
    <w:p>
      <w:pPr>
        <w:pStyle w:val="P9"/>
        <w:widowControl w:val="0"/>
        <w:spacing w:lineRule="exact" w:line="580" w:before="0" w:after="0" w:beforeAutospacing="0" w:afterAutospacing="0"/>
        <w:ind w:firstLine="65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牌匾标识的设置单位应按批准的位置、朝向、形式、规格、材质、内容进行设置，不得擅自变更。确需变更的，应按原申请程序办理变更手续。</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牌匾标识的设置单位应当加强对牌匾标识的日常维护管理，发现牌匾标识出现结构性损伤、画面污损、字体残缺、灯光显示不完整等影响市容市貌情形的，应当及时清理、维修或者更换。</w:t>
      </w:r>
    </w:p>
    <w:p>
      <w:pPr>
        <w:pStyle w:val="P1"/>
        <w:spacing w:lineRule="exact" w:line="580"/>
        <w:ind w:firstLine="613"/>
        <w:jc w:val="left"/>
        <w:rPr>
          <w:rStyle w:val="C3"/>
          <w:rFonts w:ascii="仿宋_GB2312" w:hAnsi="仿宋_GB2312"/>
        </w:rPr>
      </w:pPr>
      <w:r>
        <w:rPr>
          <w:rStyle w:val="C3"/>
          <w:rFonts w:ascii="黑体" w:hAnsi="黑体"/>
          <w:color w:val="000000"/>
        </w:rPr>
        <w:t>第十二条</w:t>
      </w:r>
      <w:r>
        <w:rPr>
          <w:rStyle w:val="C3"/>
          <w:rFonts w:ascii="仿宋_GB2312" w:hAnsi="仿宋_GB2312"/>
          <w:b w:val="1"/>
        </w:rPr>
        <w:t xml:space="preserve"> </w:t>
      </w:r>
      <w:r>
        <w:rPr>
          <w:rStyle w:val="C3"/>
          <w:rFonts w:ascii="Microsoft YaHei UI" w:hAnsi="Microsoft YaHei UI"/>
        </w:rPr>
        <w:t>牌匾标识的设置单位应当对牌匾标识进行日常安全检查，发现有安全隐患的应当及时排除。</w:t>
      </w:r>
    </w:p>
    <w:p>
      <w:pPr>
        <w:pStyle w:val="P1"/>
        <w:spacing w:lineRule="exact" w:line="580"/>
        <w:ind w:firstLine="613"/>
        <w:jc w:val="left"/>
        <w:rPr>
          <w:rStyle w:val="C3"/>
          <w:rFonts w:ascii="仿宋_GB2312" w:hAnsi="仿宋_GB2312"/>
        </w:rPr>
      </w:pPr>
      <w:r>
        <w:rPr>
          <w:rStyle w:val="C3"/>
          <w:rFonts w:ascii="Microsoft YaHei UI" w:hAnsi="Microsoft YaHei UI"/>
        </w:rPr>
        <w:t>因设置单位维护管理不善导致牌匾标识造成他人人身财产损害的，设置单位应当依法承担法律责任。</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设置牌匾标识的单位有下列情形之一的，由城市管理部门责令限期改正，逾期拒不改正的，强制拆除，并处以五十元以上五百元以下罚款：</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未按批准的位置、朝向、形式、规格、内容设置牌匾标识的；</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牌匾标识出现结构性损伤、画面污损、字体残缺、灯光显示不完整等影响市容市貌，未清理、维修或者更换的；</w:t>
      </w:r>
    </w:p>
    <w:p>
      <w:pPr>
        <w:pStyle w:val="P9"/>
        <w:widowControl w:val="0"/>
        <w:spacing w:lineRule="exact" w:line="580" w:before="0" w:after="0" w:beforeAutospacing="0" w:afterAutospacing="0"/>
        <w:ind w:firstLine="62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发现有安全隐患未及时排除的。</w:t>
      </w:r>
    </w:p>
    <w:p>
      <w:pPr>
        <w:pStyle w:val="P1"/>
        <w:spacing w:lineRule="exact" w:line="580"/>
        <w:ind w:firstLine="625"/>
        <w:jc w:val="left"/>
        <w:rPr>
          <w:rStyle w:val="C3"/>
          <w:rFonts w:ascii="仿宋_GB2312" w:hAnsi="仿宋_GB2312"/>
        </w:rPr>
      </w:pPr>
      <w:r>
        <w:rPr>
          <w:rStyle w:val="C3"/>
          <w:rFonts w:ascii="黑体" w:hAnsi="黑体"/>
          <w:color w:val="000000"/>
        </w:rPr>
        <w:t>第十四条</w:t>
      </w:r>
      <w:r>
        <w:rPr>
          <w:rStyle w:val="C3"/>
          <w:rFonts w:ascii="仿宋_GB2312" w:hAnsi="仿宋_GB2312"/>
        </w:rPr>
        <w:t xml:space="preserve"> </w:t>
      </w:r>
      <w:r>
        <w:rPr>
          <w:rStyle w:val="C3"/>
          <w:rFonts w:ascii="Microsoft YaHei UI" w:hAnsi="Microsoft YaHei UI"/>
        </w:rPr>
        <w:t>县（区、市）城市管理部门违反牌匾标识设置规划审批牌匾标识的，由市城市管理部门责令改正，并建议县（区、市）人民政府追究相关人员的责任。</w:t>
      </w:r>
    </w:p>
    <w:p>
      <w:pPr>
        <w:pStyle w:val="P1"/>
        <w:spacing w:lineRule="exact" w:line="580"/>
        <w:ind w:firstLine="625"/>
        <w:jc w:val="left"/>
        <w:rPr>
          <w:rStyle w:val="C3"/>
          <w:rFonts w:ascii="仿宋_GB2312" w:hAnsi="仿宋_GB2312"/>
        </w:rPr>
      </w:pPr>
      <w:r>
        <w:rPr>
          <w:rStyle w:val="C3"/>
          <w:rFonts w:ascii="黑体" w:hAnsi="黑体"/>
          <w:color w:val="000000"/>
        </w:rPr>
        <w:t>第十五条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ind w:firstLine="625"/>
        <w:jc w:val="left"/>
        <w:rPr>
          <w:rStyle w:val="C3"/>
          <w:rFonts w:ascii="仿宋_GB2312" w:hAnsi="仿宋_GB2312"/>
        </w:rPr>
      </w:pPr>
    </w:p>
    <w:p>
      <w:pPr>
        <w:pStyle w:val="P1"/>
        <w:spacing w:lineRule="exact" w:line="580"/>
        <w:ind w:firstLine="625"/>
        <w:jc w:val="left"/>
        <w:rPr>
          <w:rStyle w:val="C3"/>
          <w:rFonts w:ascii="仿宋_GB2312" w:hAnsi="仿宋_GB2312"/>
        </w:rPr>
      </w:pPr>
    </w:p>
    <w:p>
      <w:pPr>
        <w:pStyle w:val="P1"/>
        <w:spacing w:lineRule="exact" w:line="580"/>
        <w:ind w:firstLine="625"/>
        <w:jc w:val="left"/>
        <w:rPr>
          <w:rStyle w:val="C3"/>
          <w:rFonts w:ascii="仿宋_GB2312" w:hAnsi="仿宋_GB2312"/>
        </w:rPr>
      </w:pPr>
    </w:p>
    <w:p>
      <w:pPr>
        <w:pStyle w:val="P1"/>
        <w:spacing w:lineRule="exact" w:line="580"/>
        <w:ind w:firstLine="625"/>
        <w:jc w:val="left"/>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w:abstractNum w:abstractNumId="0">
    <w:nsid w:val="34346091"/>
    <w:multiLevelType w:val="multilevel"/>
    <w:lvl w:ilvl="0">
      <w:start w:val="5"/>
      <w:numFmt w:val="japaneseCounting"/>
      <w:suff w:val="tab"/>
      <w:lvlText w:val="第%1章"/>
      <w:lvlJc w:val="left"/>
      <w:pPr>
        <w:ind w:hanging="1455" w:left="1936"/>
        <w:tabs>
          <w:tab w:val="left" w:pos="1936"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1">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2">
    <w:nsid w:val="3EA32608"/>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407460B8"/>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65152B49"/>
    <w:multiLevelType w:val="multilevel"/>
    <w:lvl w:ilvl="0">
      <w:start w:val="3"/>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ind w:firstLine="643"/>
    </w:pPr>
    <w:rPr>
      <w:rFonts w:ascii="仿宋_GB2312" w:hAnsi="仿宋_GB2312"/>
    </w:rPr>
  </w:style>
  <w:style w:type="paragraph" w:styleId="P3">
    <w:name w:val="正文文本缩进 2"/>
    <w:basedOn w:val="P1"/>
    <w:next w:val="P3"/>
    <w:pPr>
      <w:ind w:firstLine="870"/>
    </w:pPr>
    <w:rPr>
      <w:sz w:val="44"/>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pPr>
      <w:spacing w:after="120"/>
    </w:pPr>
    <w:rPr/>
  </w:style>
  <w:style w:type="paragraph" w:styleId="P8">
    <w:name w:val="日期"/>
    <w:basedOn w:val="P1"/>
    <w:next w:val="P1"/>
    <w:pPr>
      <w:ind w:left="100"/>
    </w:pPr>
    <w:rPr/>
  </w:style>
  <w:style w:type="paragraph" w:styleId="P9">
    <w:name w:val="普通(网站)"/>
    <w:basedOn w:val="P1"/>
    <w:next w:val="P9"/>
    <w:pPr>
      <w:widowControl w:val="1"/>
      <w:spacing w:before="100" w:after="100" w:beforeAutospacing="1" w:afterAutospacing="1"/>
      <w:jc w:val="left"/>
    </w:pPr>
    <w:rPr>
      <w:rFonts w:ascii="宋体" w:hAnsi="宋体"/>
      <w:color w:val="000000"/>
      <w:sz w:val="24"/>
    </w:rPr>
  </w:style>
  <w:style w:type="paragraph" w:styleId="P10">
    <w:name w:val="Char Char Char Char"/>
    <w:basedOn w:val="P1"/>
    <w:next w:val="P10"/>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要点"/>
    <w:qFormat/>
    <w:rPr>
      <w:b w:val="1"/>
    </w:rPr>
  </w:style>
  <w:style w:type="character" w:styleId="C6">
    <w:name w:val="页脚 Char"/>
    <w:link w:val="P4"/>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2010-08-04T00:46:00Z</dcterms:created>
  <cp:lastModifiedBy>f1TZOF\f1TZOF-</cp:lastModifiedBy>
  <cp:lastPrinted>2010-10-15T08:39:00Z</cp:lastPrinted>
  <dcterms:modified xsi:type="dcterms:W3CDTF">2024-08-28T01:34:22Z</dcterms:modified>
  <cp:revision>14</cp:revision>
  <dc:title>银人常发[2006] 号</dc:title>
</cp:coreProperties>
</file>