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356A2B2" Type="http://schemas.openxmlformats.org/officeDocument/2006/relationships/officeDocument" Target="/word/document.xml" /><Relationship Id="coreR3356A2B2" Type="http://schemas.openxmlformats.org/package/2006/relationships/metadata/core-properties" Target="/docProps/core.xml" /><Relationship Id="customR3356A2B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78"/>
        <w:ind w:firstLine="632"/>
        <w:rPr>
          <w:rStyle w:val="C3"/>
          <w:rFonts w:ascii="仿宋" w:hAnsi="仿宋"/>
          <w:sz w:val="32"/>
        </w:rPr>
      </w:pPr>
    </w:p>
    <w:p>
      <w:pPr>
        <w:pStyle w:val="P1"/>
        <w:keepNext w:val="0"/>
        <w:keepLines w:val="0"/>
        <w:widowControl w:val="0"/>
        <w:spacing w:lineRule="exact" w:line="576" w:before="0" w:after="0"/>
        <w:jc w:val="center"/>
        <w:rPr>
          <w:rStyle w:val="C3"/>
          <w:rFonts w:ascii="宋体" w:hAnsi="宋体"/>
          <w:b w:val="0"/>
          <w:sz w:val="44"/>
        </w:rPr>
      </w:pPr>
      <w:r>
        <w:rPr>
          <w:rStyle w:val="C3"/>
          <w:rFonts w:ascii="宋体" w:hAnsi="宋体"/>
          <w:b w:val="0"/>
          <w:sz w:val="44"/>
        </w:rPr>
        <w:t>辽宁省货物运输车辆超限超载治理条例</w:t>
      </w:r>
    </w:p>
    <w:p>
      <w:pPr>
        <w:pStyle w:val="P1"/>
        <w:keepNext w:val="0"/>
        <w:keepLines w:val="0"/>
        <w:widowControl w:val="0"/>
        <w:spacing w:lineRule="exact" w:line="578" w:before="0" w:after="0"/>
        <w:ind w:firstLine="0" w:left="948" w:right="948"/>
        <w:jc w:val="both"/>
        <w:rPr>
          <w:rStyle w:val="C3"/>
          <w:rFonts w:ascii="楷体" w:hAnsi="楷体"/>
          <w:color w:val="auto"/>
          <w:sz w:val="32"/>
        </w:rPr>
      </w:pPr>
    </w:p>
    <w:p>
      <w:pPr>
        <w:pStyle w:val="P1"/>
        <w:keepNext w:val="0"/>
        <w:keepLines w:val="0"/>
        <w:widowControl w:val="0"/>
        <w:spacing w:lineRule="exact" w:line="518" w:before="0" w:after="0"/>
        <w:ind w:firstLine="0" w:left="229" w:right="200"/>
        <w:jc w:val="both"/>
        <w:rPr>
          <w:rStyle w:val="C3"/>
          <w:rFonts w:ascii="楷体_GB2312" w:hAnsi="楷体_GB2312"/>
          <w:color w:val="auto"/>
          <w:sz w:val="32"/>
        </w:rPr>
      </w:pPr>
      <w:r>
        <w:rPr>
          <w:rStyle w:val="C3"/>
          <w:rFonts w:ascii="楷体" w:hAnsi="楷体"/>
          <w:color w:val="auto"/>
          <w:sz w:val="32"/>
        </w:rPr>
        <w:t xml:space="preserve">（2016年11月11日辽宁省第十二届人民代表大会常务委员会第二十九次会议通过  根据2021年5月27日辽宁省第十三届人民代表大会常务委员会第二十六次会议《关于修改〈辽宁省社会组织管理条例〉等6件地方性法规的决定》修正）</w:t>
      </w:r>
    </w:p>
    <w:p>
      <w:pPr>
        <w:pStyle w:val="P1"/>
        <w:keepNext w:val="0"/>
        <w:keepLines w:val="0"/>
        <w:widowControl w:val="0"/>
        <w:spacing w:lineRule="exact" w:line="578" w:before="0" w:after="0"/>
        <w:ind w:firstLine="0" w:left="948" w:right="948"/>
        <w:jc w:val="both"/>
        <w:rPr>
          <w:rStyle w:val="C3"/>
          <w:rFonts w:ascii="楷体" w:hAnsi="楷体"/>
          <w:color w:val="auto"/>
          <w:sz w:val="32"/>
        </w:rPr>
      </w:pPr>
    </w:p>
    <w:p>
      <w:pPr>
        <w:pStyle w:val="P1"/>
        <w:keepNext w:val="0"/>
        <w:keepLines w:val="0"/>
        <w:widowControl w:val="0"/>
        <w:spacing w:lineRule="exact" w:line="578" w:before="0" w:after="0"/>
        <w:ind w:firstLine="0" w:left="0" w:right="0"/>
        <w:jc w:val="center"/>
        <w:rPr>
          <w:rStyle w:val="C3"/>
          <w:rFonts w:ascii="楷体" w:hAnsi="楷体"/>
          <w:color w:val="auto"/>
          <w:sz w:val="32"/>
        </w:rPr>
      </w:pPr>
      <w:r>
        <w:rPr>
          <w:rStyle w:val="C3"/>
          <w:rFonts w:ascii="楷体" w:hAnsi="楷体"/>
          <w:color w:val="auto"/>
          <w:sz w:val="32"/>
        </w:rPr>
        <w:t xml:space="preserve">目    录</w:t>
      </w:r>
    </w:p>
    <w:p>
      <w:pPr>
        <w:pStyle w:val="P1"/>
        <w:keepNext w:val="0"/>
        <w:keepLines w:val="0"/>
        <w:widowControl w:val="0"/>
        <w:spacing w:lineRule="exact" w:line="578" w:before="0" w:after="0"/>
        <w:ind w:firstLine="0" w:left="0" w:right="0"/>
        <w:jc w:val="both"/>
        <w:rPr>
          <w:rStyle w:val="C3"/>
          <w:rFonts w:ascii="宋体" w:hAnsi="宋体"/>
          <w:color w:val="auto"/>
          <w:sz w:val="32"/>
        </w:rPr>
      </w:pPr>
    </w:p>
    <w:p>
      <w:pPr>
        <w:pStyle w:val="P1"/>
        <w:keepNext w:val="0"/>
        <w:keepLines w:val="0"/>
        <w:widowControl w:val="0"/>
        <w:spacing w:lineRule="exact" w:line="578" w:before="0" w:after="0"/>
        <w:ind w:firstLine="632" w:left="0" w:right="0"/>
        <w:jc w:val="both"/>
        <w:rPr>
          <w:rStyle w:val="C3"/>
          <w:rFonts w:ascii="楷体" w:hAnsi="楷体"/>
          <w:color w:val="auto"/>
          <w:sz w:val="32"/>
        </w:rPr>
      </w:pPr>
      <w:r>
        <w:rPr>
          <w:rStyle w:val="C3"/>
          <w:rFonts w:ascii="楷体" w:hAnsi="楷体"/>
          <w:color w:val="auto"/>
          <w:sz w:val="32"/>
        </w:rPr>
        <w:t xml:space="preserve">第一章  总则</w:t>
      </w:r>
    </w:p>
    <w:p>
      <w:pPr>
        <w:pStyle w:val="P1"/>
        <w:keepNext w:val="0"/>
        <w:keepLines w:val="0"/>
        <w:widowControl w:val="0"/>
        <w:spacing w:lineRule="exact" w:line="578" w:before="0" w:after="0"/>
        <w:ind w:firstLine="632" w:left="0" w:right="0"/>
        <w:jc w:val="both"/>
        <w:rPr>
          <w:rStyle w:val="C3"/>
          <w:rFonts w:ascii="楷体" w:hAnsi="楷体"/>
          <w:color w:val="auto"/>
          <w:sz w:val="32"/>
        </w:rPr>
      </w:pPr>
      <w:r>
        <w:rPr>
          <w:rStyle w:val="C3"/>
          <w:rFonts w:ascii="楷体" w:hAnsi="楷体"/>
          <w:color w:val="auto"/>
          <w:sz w:val="32"/>
        </w:rPr>
        <w:t xml:space="preserve">第二章  源头管理</w:t>
      </w:r>
    </w:p>
    <w:p>
      <w:pPr>
        <w:pStyle w:val="P1"/>
        <w:keepNext w:val="0"/>
        <w:keepLines w:val="0"/>
        <w:widowControl w:val="0"/>
        <w:spacing w:lineRule="exact" w:line="578" w:before="0" w:after="0"/>
        <w:ind w:firstLine="632" w:left="0" w:right="0"/>
        <w:jc w:val="both"/>
        <w:rPr>
          <w:rStyle w:val="C3"/>
          <w:rFonts w:ascii="楷体" w:hAnsi="楷体"/>
          <w:color w:val="auto"/>
          <w:sz w:val="32"/>
        </w:rPr>
      </w:pPr>
      <w:r>
        <w:rPr>
          <w:rStyle w:val="C3"/>
          <w:rFonts w:ascii="楷体" w:hAnsi="楷体"/>
          <w:color w:val="auto"/>
          <w:sz w:val="32"/>
        </w:rPr>
        <w:t xml:space="preserve">第三章  通行管理</w:t>
      </w:r>
    </w:p>
    <w:p>
      <w:pPr>
        <w:pStyle w:val="P1"/>
        <w:keepNext w:val="0"/>
        <w:keepLines w:val="0"/>
        <w:widowControl w:val="0"/>
        <w:spacing w:lineRule="exact" w:line="578" w:before="0" w:after="0"/>
        <w:ind w:firstLine="632" w:left="0" w:right="0"/>
        <w:jc w:val="both"/>
        <w:rPr>
          <w:rStyle w:val="C3"/>
          <w:rFonts w:ascii="楷体" w:hAnsi="楷体"/>
          <w:color w:val="auto"/>
          <w:sz w:val="32"/>
        </w:rPr>
      </w:pPr>
      <w:r>
        <w:rPr>
          <w:rStyle w:val="C3"/>
          <w:rFonts w:ascii="楷体" w:hAnsi="楷体"/>
          <w:color w:val="auto"/>
          <w:sz w:val="32"/>
        </w:rPr>
        <w:t xml:space="preserve">第四章  法律责任</w:t>
      </w:r>
    </w:p>
    <w:p>
      <w:pPr>
        <w:pStyle w:val="P1"/>
        <w:keepNext w:val="0"/>
        <w:keepLines w:val="0"/>
        <w:widowControl w:val="0"/>
        <w:spacing w:lineRule="exact" w:line="578" w:before="0" w:after="0"/>
        <w:ind w:firstLine="632" w:left="0" w:right="0"/>
        <w:jc w:val="both"/>
        <w:rPr>
          <w:rStyle w:val="C3"/>
          <w:rFonts w:ascii="楷体" w:hAnsi="楷体"/>
          <w:color w:val="auto"/>
          <w:sz w:val="32"/>
        </w:rPr>
      </w:pPr>
      <w:r>
        <w:rPr>
          <w:rStyle w:val="C3"/>
          <w:rFonts w:ascii="楷体" w:hAnsi="楷体"/>
          <w:color w:val="auto"/>
          <w:sz w:val="32"/>
        </w:rPr>
        <w:t xml:space="preserve">第五章  附则</w:t>
      </w:r>
    </w:p>
    <w:p>
      <w:pPr>
        <w:pStyle w:val="P1"/>
        <w:keepNext w:val="0"/>
        <w:keepLines w:val="0"/>
        <w:widowControl w:val="0"/>
        <w:spacing w:lineRule="exact" w:line="578" w:before="0" w:after="0"/>
        <w:ind w:firstLine="0" w:left="0" w:right="0"/>
        <w:jc w:val="both"/>
        <w:rPr>
          <w:rStyle w:val="C3"/>
          <w:rFonts w:ascii="宋体" w:hAnsi="宋体"/>
          <w:color w:val="auto"/>
          <w:sz w:val="32"/>
        </w:rPr>
      </w:pPr>
    </w:p>
    <w:p>
      <w:pPr>
        <w:pStyle w:val="P1"/>
        <w:keepNext w:val="0"/>
        <w:keepLines w:val="0"/>
        <w:widowControl w:val="0"/>
        <w:spacing w:lineRule="exact" w:line="578" w:before="0" w:after="0"/>
        <w:ind w:firstLine="0" w:left="0" w:right="0"/>
        <w:jc w:val="center"/>
        <w:rPr>
          <w:rStyle w:val="C3"/>
          <w:rFonts w:ascii="黑体" w:hAnsi="黑体"/>
          <w:color w:val="auto"/>
          <w:sz w:val="32"/>
        </w:rPr>
      </w:pPr>
      <w:r>
        <w:rPr>
          <w:rStyle w:val="C3"/>
          <w:rFonts w:ascii="黑体" w:hAnsi="黑体"/>
          <w:color w:val="auto"/>
          <w:sz w:val="32"/>
        </w:rPr>
        <w:t xml:space="preserve">第一章  总则</w:t>
      </w:r>
    </w:p>
    <w:p>
      <w:pPr>
        <w:pStyle w:val="P1"/>
        <w:keepNext w:val="0"/>
        <w:keepLines w:val="0"/>
        <w:widowControl w:val="0"/>
        <w:spacing w:lineRule="exact" w:line="578" w:before="0" w:after="0"/>
        <w:ind w:right="0"/>
        <w:jc w:val="both"/>
        <w:rPr>
          <w:rStyle w:val="C3"/>
          <w:rFonts w:ascii="仿宋" w:hAnsi="仿宋"/>
          <w:color w:val="auto"/>
          <w:sz w:val="32"/>
        </w:rPr>
      </w:pP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黑体" w:hAnsi="黑体"/>
          <w:color w:val="auto"/>
          <w:sz w:val="32"/>
        </w:rPr>
        <w:t xml:space="preserve">第一条  </w:t>
      </w:r>
      <w:r>
        <w:rPr>
          <w:rStyle w:val="C3"/>
          <w:rFonts w:ascii="仿宋" w:hAnsi="仿宋"/>
          <w:color w:val="auto"/>
          <w:sz w:val="32"/>
        </w:rPr>
        <w:t>为了治理货物运输车辆超限超载，保护人民群众生命和财产安全，保障公路安全畅通，根据《中华人民共和国公路法》、《中华人民共和国道路交通安全法》等有关法律、法规，结合本省实际，制定本条例。</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黑体" w:hAnsi="黑体"/>
          <w:color w:val="auto"/>
          <w:sz w:val="32"/>
        </w:rPr>
        <w:t xml:space="preserve">第二条  </w:t>
      </w:r>
      <w:r>
        <w:rPr>
          <w:rStyle w:val="C3"/>
          <w:rFonts w:ascii="仿宋" w:hAnsi="仿宋"/>
          <w:color w:val="auto"/>
          <w:sz w:val="32"/>
        </w:rPr>
        <w:t>本条例适用于本省行政区域内货物运输车辆（以下简称货运车辆）超限超载的治理活动。</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仿宋" w:hAnsi="仿宋"/>
          <w:color w:val="auto"/>
          <w:sz w:val="32"/>
        </w:rPr>
        <w:t>本条例所称超限超载，是指在公路上行驶的货运车辆，外廓尺寸、轴荷、质量超过国家标准规定的限值或者超过交通标志标明的限载、限高、限宽、限长的行为。</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黑体" w:hAnsi="黑体"/>
          <w:color w:val="auto"/>
          <w:sz w:val="32"/>
        </w:rPr>
        <w:t xml:space="preserve">第三条  </w:t>
      </w:r>
      <w:r>
        <w:rPr>
          <w:rStyle w:val="C3"/>
          <w:rFonts w:ascii="仿宋" w:hAnsi="仿宋"/>
          <w:color w:val="auto"/>
          <w:sz w:val="32"/>
        </w:rPr>
        <w:t>货运车辆超限超载治理工作应当坚持政府领导、部门联动、综合治理以及源头管控与通行监管相结合的原则。</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黑体" w:hAnsi="黑体"/>
          <w:color w:val="auto"/>
          <w:sz w:val="32"/>
        </w:rPr>
        <w:t xml:space="preserve">第四条  </w:t>
      </w:r>
      <w:r>
        <w:rPr>
          <w:rStyle w:val="C3"/>
          <w:rFonts w:ascii="仿宋" w:hAnsi="仿宋"/>
          <w:color w:val="auto"/>
          <w:sz w:val="32"/>
        </w:rPr>
        <w:t>省、市、县（含县级市、区，下同）人民政府交通运输主管部门及其公路管理机构和道路运输管理机构、公安机关交通管理部门，应当按照职责分工负责本行政区域内货运车辆超限超载治理工作。</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仿宋" w:hAnsi="仿宋"/>
          <w:color w:val="auto"/>
          <w:sz w:val="32"/>
        </w:rPr>
        <w:t>工业和信息化、市场监督管理、财政、发展改革等有关行政管理部门，应当按照各自职责做好货运车辆超限超载治理的相关工作。</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仿宋" w:hAnsi="仿宋"/>
          <w:color w:val="auto"/>
          <w:sz w:val="32"/>
        </w:rPr>
        <w:t>乡（镇）人民政府应当支持和配合有关行政管理部门开展货运车辆超限超载治理工作。</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黑体" w:hAnsi="黑体"/>
          <w:color w:val="auto"/>
          <w:sz w:val="32"/>
        </w:rPr>
        <w:t xml:space="preserve">第五条  </w:t>
      </w:r>
      <w:r>
        <w:rPr>
          <w:rStyle w:val="C3"/>
          <w:rFonts w:ascii="仿宋" w:hAnsi="仿宋"/>
          <w:color w:val="auto"/>
          <w:sz w:val="32"/>
        </w:rPr>
        <w:t>省、市、县人民政府是本行政区域内货运车辆超限超载治理工作的责任主体，应当建立健全货运车辆超限超载治理工作机制，明确部门职责分工，并将货运车辆超限超载治理工作纳入本级政府目标责任制考核范围，实行责任倒查追究制度。</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黑体" w:hAnsi="黑体"/>
          <w:color w:val="auto"/>
          <w:sz w:val="32"/>
        </w:rPr>
        <w:t xml:space="preserve">第六条  </w:t>
      </w:r>
      <w:r>
        <w:rPr>
          <w:rStyle w:val="C3"/>
          <w:rFonts w:ascii="仿宋" w:hAnsi="仿宋"/>
          <w:color w:val="auto"/>
          <w:sz w:val="32"/>
        </w:rPr>
        <w:t>省、市、县人民政府应当组织建设货运车辆超限超载治理信息平台，逐步完善公路监控网络，提升科技治理水平，并将货运车辆超限超载治理工作所需经费纳入本级财政预算。</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仿宋" w:hAnsi="仿宋"/>
          <w:color w:val="auto"/>
          <w:sz w:val="32"/>
        </w:rPr>
        <w:t>交通运输、公安机关交通管理等部门应当加强超限超载治理宣传教育工作，引导货运经营者和车辆驾驶人依法装载、安全运输。</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黑体" w:hAnsi="黑体"/>
          <w:color w:val="auto"/>
          <w:sz w:val="32"/>
        </w:rPr>
        <w:t xml:space="preserve">第七条  </w:t>
      </w:r>
      <w:r>
        <w:rPr>
          <w:rStyle w:val="C3"/>
          <w:rFonts w:ascii="仿宋" w:hAnsi="仿宋"/>
          <w:color w:val="auto"/>
          <w:sz w:val="32"/>
        </w:rPr>
        <w:t>交通运输、公安机关交通管理等部门应当公布举报电话、电子信箱等，受理对货运车辆超限超载违法行为的举报。接到举报的行政管理部门应当按照职责及时组织核查，依法处理，并向举报人反馈，为其保密。对查证属实的，应当给予举报人奖励。</w:t>
      </w:r>
    </w:p>
    <w:p>
      <w:pPr>
        <w:pStyle w:val="P1"/>
        <w:keepNext w:val="0"/>
        <w:keepLines w:val="0"/>
        <w:widowControl w:val="0"/>
        <w:spacing w:lineRule="exact" w:line="578" w:before="0" w:after="0"/>
        <w:ind w:right="0"/>
        <w:jc w:val="both"/>
        <w:rPr>
          <w:rStyle w:val="C3"/>
          <w:rFonts w:ascii="仿宋" w:hAnsi="仿宋"/>
          <w:color w:val="auto"/>
          <w:sz w:val="32"/>
        </w:rPr>
      </w:pPr>
    </w:p>
    <w:p>
      <w:pPr>
        <w:pStyle w:val="P1"/>
        <w:keepNext w:val="0"/>
        <w:keepLines w:val="0"/>
        <w:widowControl w:val="0"/>
        <w:spacing w:lineRule="exact" w:line="578" w:before="0" w:after="0"/>
        <w:ind w:right="0"/>
        <w:jc w:val="center"/>
        <w:rPr>
          <w:rStyle w:val="C3"/>
          <w:rFonts w:ascii="黑体" w:hAnsi="黑体"/>
          <w:color w:val="auto"/>
          <w:sz w:val="32"/>
        </w:rPr>
      </w:pPr>
      <w:r>
        <w:rPr>
          <w:rStyle w:val="C3"/>
          <w:rFonts w:ascii="黑体" w:hAnsi="黑体"/>
          <w:color w:val="auto"/>
          <w:sz w:val="32"/>
        </w:rPr>
        <w:t xml:space="preserve">第二章  源头管理</w:t>
      </w:r>
    </w:p>
    <w:p>
      <w:pPr>
        <w:pStyle w:val="P1"/>
        <w:keepNext w:val="0"/>
        <w:keepLines w:val="0"/>
        <w:widowControl w:val="0"/>
        <w:spacing w:lineRule="exact" w:line="578" w:before="0" w:after="0"/>
        <w:ind w:firstLine="632" w:left="0" w:right="0"/>
        <w:jc w:val="both"/>
        <w:rPr>
          <w:rStyle w:val="C3"/>
          <w:rFonts w:ascii="黑体" w:hAnsi="黑体"/>
          <w:color w:val="auto"/>
          <w:sz w:val="32"/>
        </w:rPr>
      </w:pP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黑体" w:hAnsi="黑体"/>
          <w:color w:val="auto"/>
          <w:sz w:val="32"/>
        </w:rPr>
        <w:t>第八条</w:t>
      </w:r>
      <w:r>
        <w:rPr>
          <w:rStyle w:val="C3"/>
          <w:rFonts w:ascii="仿宋" w:hAnsi="仿宋"/>
          <w:color w:val="auto"/>
          <w:sz w:val="32"/>
        </w:rPr>
        <w:t xml:space="preserve">  企业生产、销售的货运车辆应当符合国家机动车安全技术标准有关车辆外廓尺寸、轴荷、质量限值等规定，其车辆技术数据应当按照国家规定和设计规范标定。</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黑体" w:hAnsi="黑体"/>
          <w:color w:val="auto"/>
          <w:sz w:val="32"/>
        </w:rPr>
        <w:t xml:space="preserve">第九条  </w:t>
      </w:r>
      <w:r>
        <w:rPr>
          <w:rStyle w:val="C3"/>
          <w:rFonts w:ascii="仿宋" w:hAnsi="仿宋"/>
          <w:color w:val="auto"/>
          <w:sz w:val="32"/>
        </w:rPr>
        <w:t>禁止任何单位和个人拼装或者擅自改变货运车辆的外廓尺寸和主要承载构件。</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仿宋" w:hAnsi="仿宋"/>
          <w:color w:val="auto"/>
          <w:sz w:val="32"/>
        </w:rPr>
        <w:t>运输不可解体物品需要改装车辆的，应当由具有相应资质的车辆生产企业按照国家规定的车型和技术参数进行改装。</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仿宋" w:hAnsi="仿宋"/>
          <w:color w:val="auto"/>
          <w:sz w:val="32"/>
        </w:rPr>
        <w:t>公安机关交通管理部门、道路运输管理机构办理货运车辆注册登记、车辆营运证和定期检验业务时，应当对货运车辆的拼装、改装情况予以查验。</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黑体" w:hAnsi="黑体"/>
          <w:color w:val="auto"/>
          <w:sz w:val="32"/>
        </w:rPr>
        <w:t xml:space="preserve">第十条  </w:t>
      </w:r>
      <w:r>
        <w:rPr>
          <w:rStyle w:val="C3"/>
          <w:rFonts w:ascii="仿宋" w:hAnsi="仿宋"/>
          <w:color w:val="auto"/>
          <w:sz w:val="32"/>
        </w:rPr>
        <w:t>从事道路货物运输装载的经营者（以下简称货运源头单位）应当遵守下列规定：</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仿宋" w:hAnsi="仿宋"/>
          <w:color w:val="auto"/>
          <w:sz w:val="32"/>
        </w:rPr>
        <w:t>（一）明确有关从业人员职责，建立并落实责任追究制度；</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仿宋" w:hAnsi="仿宋"/>
          <w:color w:val="auto"/>
          <w:sz w:val="32"/>
        </w:rPr>
        <w:t>（二）对货物装载、开票、计重等从业人员进行培训；</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仿宋" w:hAnsi="仿宋"/>
          <w:color w:val="auto"/>
          <w:sz w:val="32"/>
        </w:rPr>
        <w:t>（三）对货运车辆驾驶人出示的驾驶证、行驶证、车辆营运证和从业资格证进行登记；</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仿宋" w:hAnsi="仿宋"/>
          <w:color w:val="auto"/>
          <w:sz w:val="32"/>
        </w:rPr>
        <w:t>（四）按照货运车辆装载要求合法装载，如实计重、开票、签发装载单；</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仿宋" w:hAnsi="仿宋"/>
          <w:color w:val="auto"/>
          <w:sz w:val="32"/>
        </w:rPr>
        <w:t>（五）建立健全货运车辆装载的登记、统计制度，按照规定向道路运输管理机构报送相关信息；</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仿宋" w:hAnsi="仿宋"/>
          <w:color w:val="auto"/>
          <w:sz w:val="32"/>
        </w:rPr>
        <w:t>（六）接受执法人员的监督检查，如实提供有关情况和资料。</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黑体" w:hAnsi="黑体"/>
          <w:color w:val="auto"/>
          <w:sz w:val="32"/>
        </w:rPr>
        <w:t>第十一条</w:t>
      </w:r>
      <w:r>
        <w:rPr>
          <w:rStyle w:val="C3"/>
          <w:rFonts w:ascii="仿宋" w:hAnsi="仿宋"/>
          <w:color w:val="auto"/>
          <w:sz w:val="32"/>
        </w:rPr>
        <w:t xml:space="preserve">  货运源头单位不得有下列行为：</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仿宋" w:hAnsi="仿宋"/>
          <w:color w:val="auto"/>
          <w:sz w:val="32"/>
        </w:rPr>
        <w:t>（一）为未取得从业资格证的人员驾驶的货运车辆装载货物；</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仿宋" w:hAnsi="仿宋"/>
          <w:color w:val="auto"/>
          <w:sz w:val="32"/>
        </w:rPr>
        <w:t>（二）为超限超载的货运车辆提供虚假装载证明；</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仿宋" w:hAnsi="仿宋"/>
          <w:color w:val="auto"/>
          <w:sz w:val="32"/>
        </w:rPr>
        <w:t>（三）放行超限超载货运车辆；</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仿宋" w:hAnsi="仿宋"/>
          <w:color w:val="auto"/>
          <w:sz w:val="32"/>
        </w:rPr>
        <w:t>（四）为无号牌或者无车辆行驶证、营运证的货运车辆装载货物。</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黑体" w:hAnsi="黑体"/>
          <w:color w:val="auto"/>
          <w:sz w:val="32"/>
        </w:rPr>
        <w:t>第十二条</w:t>
      </w:r>
      <w:r>
        <w:rPr>
          <w:rStyle w:val="C3"/>
          <w:rFonts w:ascii="仿宋" w:hAnsi="仿宋"/>
          <w:color w:val="auto"/>
          <w:sz w:val="32"/>
        </w:rPr>
        <w:t xml:space="preserve">  市、县人民政府应当组织交通运输、公安、市场监督管理等部门对本行政区域内的货运源头单位进行核查，确定重点货运源头单位，并向社会公布。</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仿宋" w:hAnsi="仿宋"/>
          <w:color w:val="auto"/>
          <w:sz w:val="32"/>
        </w:rPr>
        <w:t>道路运输管理机构应当对重点货运源头单位加强监督管理，采取巡查、技术监控或者派驻行政执法人员的方式，依法履行以下监督管理职责：</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仿宋" w:hAnsi="仿宋"/>
          <w:color w:val="auto"/>
          <w:sz w:val="32"/>
        </w:rPr>
        <w:t>（一）监督检查车辆放行岗位职责以及责任追究制度的建立和执行情况；</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仿宋" w:hAnsi="仿宋"/>
          <w:color w:val="auto"/>
          <w:sz w:val="32"/>
        </w:rPr>
        <w:t>（二）监督检查货物装载和货运车辆放行行为；</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仿宋" w:hAnsi="仿宋"/>
          <w:color w:val="auto"/>
          <w:sz w:val="32"/>
        </w:rPr>
        <w:t>（三）处理违反货物装载规定的行为；</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仿宋" w:hAnsi="仿宋"/>
          <w:color w:val="auto"/>
          <w:sz w:val="32"/>
        </w:rPr>
        <w:t>（四）法律、法规规定的其他职责。</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仿宋" w:hAnsi="仿宋"/>
          <w:color w:val="auto"/>
          <w:sz w:val="32"/>
        </w:rPr>
        <w:t>道路运输管理机构在监督检查工作中发现涉及其他部门执法职责范围的违法行为时，应当及时抄告或者移送有关部门，有关部门应当及时进行查处并反馈处理情况。</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黑体" w:hAnsi="黑体"/>
          <w:color w:val="auto"/>
          <w:sz w:val="32"/>
        </w:rPr>
        <w:t>第十三条</w:t>
      </w:r>
      <w:r>
        <w:rPr>
          <w:rStyle w:val="C3"/>
          <w:rFonts w:ascii="仿宋" w:hAnsi="仿宋"/>
          <w:color w:val="auto"/>
          <w:sz w:val="32"/>
        </w:rPr>
        <w:t xml:space="preserve">  货运经营者应当遵守下列规定：</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仿宋" w:hAnsi="仿宋"/>
          <w:color w:val="auto"/>
          <w:sz w:val="32"/>
        </w:rPr>
        <w:t>（一）对所属货运车辆驾驶人进行依法装载和安全知识培训；</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仿宋" w:hAnsi="仿宋"/>
          <w:color w:val="auto"/>
          <w:sz w:val="32"/>
        </w:rPr>
        <w:t>（二）载运不可解体物品在公路上超限运输的，应当依法取得超限运输车辆通行证。超限运输车辆的型号和运输的物品应当与通行证记载的内容相一致；</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仿宋" w:hAnsi="仿宋"/>
          <w:color w:val="auto"/>
          <w:sz w:val="32"/>
        </w:rPr>
        <w:t>（三）不得聘用未取得从业资格证的货运车辆驾驶人，不得指使、强令货运车辆驾驶人超限超载运输货物；</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仿宋" w:hAnsi="仿宋"/>
          <w:color w:val="auto"/>
          <w:sz w:val="32"/>
        </w:rPr>
        <w:t>（四）不得从事超限超载运输；</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仿宋" w:hAnsi="仿宋"/>
          <w:color w:val="auto"/>
          <w:sz w:val="32"/>
        </w:rPr>
        <w:t>（五）其他有关法律、法规规定。</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黑体" w:hAnsi="黑体"/>
          <w:color w:val="auto"/>
          <w:sz w:val="32"/>
        </w:rPr>
        <w:t xml:space="preserve">第十四条  </w:t>
      </w:r>
      <w:r>
        <w:rPr>
          <w:rStyle w:val="C3"/>
          <w:rFonts w:ascii="仿宋" w:hAnsi="仿宋"/>
          <w:color w:val="auto"/>
          <w:sz w:val="32"/>
        </w:rPr>
        <w:t>货运车辆驾驶人不得驾驶违法超限超载货运车辆。在运输中，应当随车携带装载证明，实际装载情况应当与装载证明载明的内容相符。</w:t>
      </w:r>
    </w:p>
    <w:p>
      <w:pPr>
        <w:pStyle w:val="P1"/>
        <w:keepNext w:val="0"/>
        <w:keepLines w:val="0"/>
        <w:widowControl w:val="0"/>
        <w:spacing w:lineRule="exact" w:line="578" w:before="0" w:after="0"/>
        <w:ind w:firstLine="632" w:left="0" w:right="0"/>
        <w:jc w:val="both"/>
        <w:rPr>
          <w:rStyle w:val="C3"/>
          <w:rFonts w:ascii="仿宋" w:hAnsi="仿宋"/>
          <w:color w:val="auto"/>
          <w:sz w:val="32"/>
        </w:rPr>
      </w:pPr>
    </w:p>
    <w:p>
      <w:pPr>
        <w:pStyle w:val="P1"/>
        <w:keepNext w:val="0"/>
        <w:keepLines w:val="0"/>
        <w:widowControl w:val="0"/>
        <w:spacing w:lineRule="exact" w:line="578" w:before="0" w:after="0"/>
        <w:ind w:right="0"/>
        <w:jc w:val="center"/>
        <w:rPr>
          <w:rStyle w:val="C3"/>
          <w:rFonts w:ascii="黑体" w:hAnsi="黑体"/>
          <w:color w:val="auto"/>
          <w:sz w:val="32"/>
        </w:rPr>
      </w:pPr>
      <w:r>
        <w:rPr>
          <w:rStyle w:val="C3"/>
          <w:rFonts w:ascii="黑体" w:hAnsi="黑体"/>
          <w:color w:val="auto"/>
          <w:sz w:val="32"/>
        </w:rPr>
        <w:t xml:space="preserve">第三章  通行管理</w:t>
      </w:r>
    </w:p>
    <w:p>
      <w:pPr>
        <w:pStyle w:val="P1"/>
        <w:keepNext w:val="0"/>
        <w:keepLines w:val="0"/>
        <w:widowControl w:val="0"/>
        <w:spacing w:lineRule="exact" w:line="578" w:before="0" w:after="0"/>
        <w:ind w:firstLine="632" w:left="0" w:right="0"/>
        <w:jc w:val="both"/>
        <w:rPr>
          <w:rStyle w:val="C3"/>
          <w:rFonts w:ascii="黑体" w:hAnsi="黑体"/>
          <w:color w:val="auto"/>
          <w:sz w:val="32"/>
        </w:rPr>
      </w:pP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黑体" w:hAnsi="黑体"/>
          <w:color w:val="auto"/>
          <w:sz w:val="32"/>
        </w:rPr>
        <w:t>第十五条</w:t>
      </w:r>
      <w:r>
        <w:rPr>
          <w:rStyle w:val="C3"/>
          <w:rFonts w:ascii="仿宋" w:hAnsi="仿宋"/>
          <w:color w:val="auto"/>
          <w:sz w:val="32"/>
        </w:rPr>
        <w:t xml:space="preserve">  交通运输主管部门和公安机关交通管理部门应当健全完善执法协作机制，以超限超载检测站点为依托，加强和创新公路执法管理，提升公路交通管理和服务水平。</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黑体" w:hAnsi="黑体"/>
          <w:color w:val="auto"/>
          <w:sz w:val="32"/>
        </w:rPr>
        <w:t>第十六条</w:t>
      </w:r>
      <w:r>
        <w:rPr>
          <w:rStyle w:val="C3"/>
          <w:rFonts w:ascii="仿宋" w:hAnsi="仿宋"/>
          <w:color w:val="auto"/>
          <w:sz w:val="32"/>
        </w:rPr>
        <w:t xml:space="preserve">  省交通运输主管部门应当按照统一规划、合理布局、总量控制、适时调整的原则，编制超限超载检测站点建设规划，报省人民政府批准后执行。需要对原有站址作出调整的，应当经省交通运输主管部门同意；确需增设站点的，应当报省人民政府批准。</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仿宋" w:hAnsi="仿宋"/>
          <w:color w:val="auto"/>
          <w:sz w:val="32"/>
        </w:rPr>
        <w:t>新建、改建公路时，应当按照超限超载检测站点建设规划，将超限超载检测站点、车辆检测等技术监控设备作为公路附属设施一并列入工程预算，与公路主体工程同步设计、同步建设、同步验收运行。</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仿宋" w:hAnsi="仿宋"/>
          <w:color w:val="auto"/>
          <w:sz w:val="32"/>
        </w:rPr>
        <w:t>超限超载检测站点应当配置符合国家规定的设施、设备，并在站内显著位置公示监督电话、超限超载认定标准和超限超载检测程序。</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黑体" w:hAnsi="黑体"/>
          <w:color w:val="auto"/>
          <w:sz w:val="32"/>
        </w:rPr>
        <w:t>第十七条</w:t>
      </w:r>
      <w:r>
        <w:rPr>
          <w:rStyle w:val="C3"/>
          <w:rFonts w:ascii="仿宋" w:hAnsi="仿宋"/>
          <w:color w:val="auto"/>
          <w:sz w:val="32"/>
        </w:rPr>
        <w:t xml:space="preserve">  公路管理机构和公安机关交通管理部门可以在超限超载检测站点对货运车辆实施检测，也可以根据路面情况，利用流动检测设备或者动态检测技术监控设备，在公路出入口、货物集散地、装载点或者易发生超限超载运输行为的路段实施检测。</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黑体" w:hAnsi="黑体"/>
          <w:color w:val="auto"/>
          <w:sz w:val="32"/>
        </w:rPr>
        <w:t>第十八条</w:t>
      </w:r>
      <w:r>
        <w:rPr>
          <w:rStyle w:val="C3"/>
          <w:rFonts w:ascii="仿宋" w:hAnsi="仿宋"/>
          <w:color w:val="auto"/>
          <w:sz w:val="32"/>
        </w:rPr>
        <w:t xml:space="preserve">  公路管理机构和公安机关交通管理部门依法进行检测时，被检测货运车辆应当按照指示标志或者执法人员的指挥驶入指定的区域接受检测，不得故意堵塞公路或者检测站点通道，不得强行通过治理超限超载检测站点扰乱检测秩序，不得采取短途驳载等方式逃避检测。</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仿宋" w:hAnsi="仿宋"/>
          <w:color w:val="auto"/>
          <w:sz w:val="32"/>
        </w:rPr>
        <w:t>对经检测认定为超限超载的货运车辆，应当出具检测单据，不得凭目测或者经验判断货运车辆是否超限超载。</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黑体" w:hAnsi="黑体"/>
          <w:color w:val="auto"/>
          <w:sz w:val="32"/>
        </w:rPr>
        <w:t xml:space="preserve">第十九条  </w:t>
      </w:r>
      <w:r>
        <w:rPr>
          <w:rStyle w:val="C3"/>
          <w:rFonts w:ascii="仿宋" w:hAnsi="仿宋"/>
          <w:color w:val="auto"/>
          <w:sz w:val="32"/>
        </w:rPr>
        <w:t>经检测认定超限超载的货运车辆，运输可解体物品的，公路管理机构或者公安机关交通管理部门应当责令承运人采取自行卸载、分装等改正措施，消除违法状态。承运人现场拒不卸载、分装的，代为卸载、分装，费用由承运人承担。卸载、分装后的货运车辆应当复检，符合规定标准后方可上路行驶。对擅自运输不可解体物品超限超载的，应当责令承运人停止违法行为，接受调查处理，并告知承运人到有关部门申请办理超限运输许可手续。</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仿宋" w:hAnsi="仿宋"/>
          <w:color w:val="auto"/>
          <w:sz w:val="32"/>
        </w:rPr>
        <w:t>承运人无法自行保管分装的卸载货物，需要临时存入超限超载检测站点的，应当依法签订保管协议。超过协议约定保管期限的，公路管理机构等部门应当告知承运人限期清理；未按期清理的卸载货物，公路管理机构等部门可以依照有关法律、法规规定处理。货物卸载、保管办法由省交通运输主管部门制定。</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黑体" w:hAnsi="黑体"/>
          <w:color w:val="auto"/>
          <w:sz w:val="32"/>
        </w:rPr>
        <w:t>第二十条</w:t>
      </w:r>
      <w:r>
        <w:rPr>
          <w:rStyle w:val="C3"/>
          <w:rFonts w:ascii="仿宋" w:hAnsi="仿宋"/>
          <w:color w:val="auto"/>
          <w:sz w:val="32"/>
        </w:rPr>
        <w:t xml:space="preserve">  高速公路入口应当按照规定设置超限超载检测设备，对货运车辆进行检测，不得放行经检测认定违法超限超载的货运车辆驶入高速公路。</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黑体" w:hAnsi="黑体"/>
          <w:color w:val="auto"/>
          <w:sz w:val="32"/>
        </w:rPr>
        <w:t>第二十一条</w:t>
      </w:r>
      <w:r>
        <w:rPr>
          <w:rStyle w:val="C3"/>
          <w:rFonts w:ascii="仿宋" w:hAnsi="仿宋"/>
          <w:color w:val="auto"/>
          <w:sz w:val="32"/>
        </w:rPr>
        <w:t xml:space="preserve">  符合绿色通道通行规定的货运车辆经检测认定超限超载的，应当按照规定缴纳通行费用，由公路管理机构实行现场告诫、登记。</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黑体" w:hAnsi="黑体"/>
          <w:color w:val="auto"/>
          <w:sz w:val="32"/>
        </w:rPr>
        <w:t>第二十二条</w:t>
      </w:r>
      <w:r>
        <w:rPr>
          <w:rStyle w:val="C3"/>
          <w:rFonts w:ascii="仿宋" w:hAnsi="仿宋"/>
          <w:color w:val="auto"/>
          <w:sz w:val="32"/>
        </w:rPr>
        <w:t xml:space="preserve">  经流动检测设备检测显示货运车辆超限超载的，公路管理机构应当将其就近引导至固定超限超载检测站点进行处理。</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黑体" w:hAnsi="黑体"/>
          <w:color w:val="auto"/>
          <w:sz w:val="32"/>
        </w:rPr>
        <w:t xml:space="preserve">第二十三条  </w:t>
      </w:r>
      <w:r>
        <w:rPr>
          <w:rStyle w:val="C3"/>
          <w:rFonts w:ascii="仿宋" w:hAnsi="仿宋"/>
          <w:color w:val="auto"/>
          <w:sz w:val="32"/>
        </w:rPr>
        <w:t>用于超限超载检测的设备应当依法定期进行检定；未经检定或者检定不合格的，其检测数据不得作为卸载、处罚的依据。</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黑体" w:hAnsi="黑体"/>
          <w:color w:val="auto"/>
          <w:sz w:val="32"/>
        </w:rPr>
        <w:t xml:space="preserve">第二十四条  </w:t>
      </w:r>
      <w:r>
        <w:rPr>
          <w:rStyle w:val="C3"/>
          <w:rFonts w:ascii="仿宋" w:hAnsi="仿宋"/>
          <w:color w:val="auto"/>
          <w:sz w:val="32"/>
        </w:rPr>
        <w:t>县交通运输主管部门可以在农村公路设置明显的限载、限高、限宽、限长的警示标志，在乡道、村道的出入口设置限高、限宽设施，但是不得影响消防和卫生急救等应急通行需要。任何单位和个人不得向通行车辆收费。</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黑体" w:hAnsi="黑体"/>
          <w:color w:val="auto"/>
          <w:sz w:val="32"/>
        </w:rPr>
        <w:t>第二十五条</w:t>
      </w:r>
      <w:r>
        <w:rPr>
          <w:rStyle w:val="C3"/>
          <w:rFonts w:ascii="仿宋" w:hAnsi="仿宋"/>
          <w:color w:val="auto"/>
          <w:sz w:val="32"/>
        </w:rPr>
        <w:t xml:space="preserve">  道路运输管理机构应当建立健全货运源头监管信息报送制度。对查处的违法装载运输的有关信息，应当报送上级道路运输管理机构。</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仿宋" w:hAnsi="仿宋"/>
          <w:color w:val="auto"/>
          <w:sz w:val="32"/>
        </w:rPr>
        <w:t>省道路运输管理机构对查处的违法装载运输的外省、自治区、直辖市籍车辆的有关信息，应当按照有关规定向相关省、自治区、直辖市通报。</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黑体" w:hAnsi="黑体"/>
          <w:color w:val="auto"/>
          <w:sz w:val="32"/>
        </w:rPr>
        <w:t>第二十六条</w:t>
      </w:r>
      <w:r>
        <w:rPr>
          <w:rStyle w:val="C3"/>
          <w:rFonts w:ascii="仿宋" w:hAnsi="仿宋"/>
          <w:color w:val="auto"/>
          <w:sz w:val="32"/>
        </w:rPr>
        <w:t xml:space="preserve">  公路管理机构和公安机关交通管理部门发现货运车辆超限超载的，除依法予以卸载、处罚外，应当将货运车辆违法装载信息抄告车籍所在地道路运输管理机构。</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仿宋" w:hAnsi="仿宋"/>
          <w:color w:val="auto"/>
          <w:sz w:val="32"/>
        </w:rPr>
        <w:t>道路运输管理机构应当收集和整理货运车辆违法装载信息，将货运车辆超限超载违法行为纳入货运经营者质量信誉考核和驾驶人诚信考核范围，并将考核结果向社会公开。</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黑体" w:hAnsi="黑体"/>
          <w:color w:val="auto"/>
          <w:sz w:val="32"/>
        </w:rPr>
        <w:t xml:space="preserve">第二十七条  </w:t>
      </w:r>
      <w:r>
        <w:rPr>
          <w:rStyle w:val="C3"/>
          <w:rFonts w:ascii="仿宋" w:hAnsi="仿宋"/>
          <w:color w:val="auto"/>
          <w:sz w:val="32"/>
        </w:rPr>
        <w:t>交通运输主管部门应当建立公路超限货运车辆信息系统，并与公安机关交通管理部门的货运车辆违法超载运输记录、货运车辆年检信息系统等联网，实现信息共享，并将违法超限超载运输行为记录向社会公布。</w:t>
      </w:r>
    </w:p>
    <w:p>
      <w:pPr>
        <w:pStyle w:val="P1"/>
        <w:keepNext w:val="0"/>
        <w:keepLines w:val="0"/>
        <w:widowControl w:val="0"/>
        <w:spacing w:lineRule="exact" w:line="578" w:before="0" w:after="0"/>
        <w:ind w:firstLine="632" w:left="0" w:right="0"/>
        <w:jc w:val="both"/>
        <w:rPr>
          <w:rStyle w:val="C3"/>
          <w:rFonts w:ascii="仿宋" w:hAnsi="仿宋"/>
          <w:color w:val="auto"/>
          <w:sz w:val="32"/>
        </w:rPr>
      </w:pPr>
    </w:p>
    <w:p>
      <w:pPr>
        <w:pStyle w:val="P1"/>
        <w:keepNext w:val="0"/>
        <w:keepLines w:val="0"/>
        <w:widowControl w:val="0"/>
        <w:spacing w:lineRule="exact" w:line="578" w:before="0" w:after="0"/>
        <w:ind w:right="0"/>
        <w:jc w:val="center"/>
        <w:rPr>
          <w:rStyle w:val="C3"/>
          <w:rFonts w:ascii="黑体" w:hAnsi="黑体"/>
          <w:color w:val="auto"/>
          <w:sz w:val="32"/>
        </w:rPr>
      </w:pPr>
      <w:r>
        <w:rPr>
          <w:rStyle w:val="C3"/>
          <w:rFonts w:ascii="黑体" w:hAnsi="黑体"/>
          <w:color w:val="auto"/>
          <w:sz w:val="32"/>
        </w:rPr>
        <w:t xml:space="preserve">第四章  法律责任</w:t>
      </w:r>
    </w:p>
    <w:p>
      <w:pPr>
        <w:pStyle w:val="P1"/>
        <w:keepNext w:val="0"/>
        <w:keepLines w:val="0"/>
        <w:widowControl w:val="0"/>
        <w:spacing w:lineRule="exact" w:line="578" w:before="0" w:after="0"/>
        <w:ind w:firstLine="632" w:left="0" w:right="0"/>
        <w:jc w:val="both"/>
        <w:rPr>
          <w:rStyle w:val="C3"/>
          <w:rFonts w:ascii="黑体" w:hAnsi="黑体"/>
          <w:color w:val="auto"/>
          <w:sz w:val="32"/>
        </w:rPr>
      </w:pP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黑体" w:hAnsi="黑体"/>
          <w:color w:val="auto"/>
          <w:sz w:val="32"/>
        </w:rPr>
        <w:t>第二十八条</w:t>
      </w:r>
      <w:r>
        <w:rPr>
          <w:rStyle w:val="C3"/>
          <w:rFonts w:ascii="仿宋" w:hAnsi="仿宋"/>
          <w:color w:val="auto"/>
          <w:sz w:val="32"/>
        </w:rPr>
        <w:t xml:space="preserve">  市、县人民政府及其相关责任单位应当组织对严重超限超载的货运车辆进行责任倒查，倒查装载、配载的重点货运源头单位、车辆生产或者改装企业、车辆所属单位、途经固定超限超载检测站点等单位或者个人的过错责任。</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仿宋" w:hAnsi="仿宋"/>
          <w:color w:val="auto"/>
          <w:sz w:val="32"/>
        </w:rPr>
        <w:t>倒查中涉及车辆生产或者改装企业、货运源头单位、车辆所有人责任的，由有关监督管理部门依照法律、法规的规定给予处罚。</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黑体" w:hAnsi="黑体"/>
          <w:color w:val="auto"/>
          <w:sz w:val="32"/>
        </w:rPr>
        <w:t>第二十九条</w:t>
      </w:r>
      <w:r>
        <w:rPr>
          <w:rStyle w:val="C3"/>
          <w:rFonts w:ascii="仿宋" w:hAnsi="仿宋"/>
          <w:color w:val="auto"/>
          <w:sz w:val="32"/>
        </w:rPr>
        <w:t xml:space="preserve">  违反本条例规定，非法生产、销售不符合国家机动车安全技术标准有关车辆外廓尺寸、轴荷、质量限值等规定的货运车辆的，或者拼装、擅自改装货运车辆的，由市场监督管理部门依照《中华人民共和国产品质量法》、《中华人民共和国道路交通安全法》有关规定进行处罚。</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黑体" w:hAnsi="黑体"/>
          <w:color w:val="auto"/>
          <w:sz w:val="32"/>
        </w:rPr>
        <w:t>第三十条</w:t>
      </w:r>
      <w:r>
        <w:rPr>
          <w:rStyle w:val="C3"/>
          <w:rFonts w:ascii="仿宋" w:hAnsi="仿宋"/>
          <w:color w:val="auto"/>
          <w:sz w:val="32"/>
        </w:rPr>
        <w:t xml:space="preserve">  违反本条例规定，货运源头单位有下列行为之一的，由道路运输管理机构责令限期改正；逾期未改正的，处三千元罚款：</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仿宋" w:hAnsi="仿宋"/>
          <w:color w:val="auto"/>
          <w:sz w:val="32"/>
        </w:rPr>
        <w:t>（一）未按照货运车辆装载要求合法装载货物的；</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仿宋" w:hAnsi="仿宋"/>
          <w:color w:val="auto"/>
          <w:sz w:val="32"/>
        </w:rPr>
        <w:t>（二）未如实计重、开票、签发装载单的；</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仿宋" w:hAnsi="仿宋"/>
          <w:color w:val="auto"/>
          <w:sz w:val="32"/>
        </w:rPr>
        <w:t>（三）拒绝接受执法人员的监督检查，未如实提供有关情况和资料的。</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黑体" w:hAnsi="黑体"/>
          <w:color w:val="auto"/>
          <w:sz w:val="32"/>
        </w:rPr>
        <w:t>第三十一条</w:t>
      </w:r>
      <w:r>
        <w:rPr>
          <w:rStyle w:val="C3"/>
          <w:rFonts w:ascii="仿宋" w:hAnsi="仿宋"/>
          <w:color w:val="auto"/>
          <w:sz w:val="32"/>
        </w:rPr>
        <w:t xml:space="preserve">  违反本条例规定，货运源头单位有下列行为之一的，由道路运输管理机构责令限期改正，并按照下列规定予以处罚：</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仿宋" w:hAnsi="仿宋"/>
          <w:color w:val="auto"/>
          <w:sz w:val="32"/>
        </w:rPr>
        <w:t>（一）为未取得从业资格证的人员驾驶的货运车辆装载货物的，每辆次处一千元罚款；</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仿宋" w:hAnsi="仿宋"/>
          <w:color w:val="auto"/>
          <w:sz w:val="32"/>
        </w:rPr>
        <w:t>（二）为超限超载的货运车辆提供虚假装载证明的，每辆次处一千元罚款；</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仿宋" w:hAnsi="仿宋"/>
          <w:color w:val="auto"/>
          <w:sz w:val="32"/>
        </w:rPr>
        <w:t>（三）放行超限超载货运车辆的，处一万元罚款；</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仿宋" w:hAnsi="仿宋"/>
          <w:color w:val="auto"/>
          <w:sz w:val="32"/>
        </w:rPr>
        <w:t>（四）为无号牌或者无车辆行驶证、营运证的货运车辆装载货物的，处一万元罚款。</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黑体" w:hAnsi="黑体"/>
          <w:color w:val="auto"/>
          <w:sz w:val="32"/>
        </w:rPr>
        <w:t>第三十二条</w:t>
      </w:r>
      <w:r>
        <w:rPr>
          <w:rStyle w:val="C3"/>
          <w:rFonts w:ascii="仿宋" w:hAnsi="仿宋"/>
          <w:color w:val="auto"/>
          <w:sz w:val="32"/>
        </w:rPr>
        <w:t xml:space="preserve">  违反本条例规定，货运车辆有下列行为之一的，由公路管理机构强制拖离或者扣留车辆，并按照下列规定予以处罚：</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仿宋" w:hAnsi="仿宋"/>
          <w:color w:val="auto"/>
          <w:sz w:val="32"/>
        </w:rPr>
        <w:t>（一）采取短途驳载等方式逃避检测的，处一万元罚款；</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仿宋" w:hAnsi="仿宋"/>
          <w:color w:val="auto"/>
          <w:sz w:val="32"/>
        </w:rPr>
        <w:t>（二）故意堵塞公路或者检测站点通道、强行通过治理超限超载检测站点扰乱检测秩序的，处二万元罚款。</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黑体" w:hAnsi="黑体"/>
          <w:color w:val="auto"/>
          <w:sz w:val="32"/>
        </w:rPr>
        <w:t>第三十三条</w:t>
      </w:r>
      <w:r>
        <w:rPr>
          <w:rStyle w:val="C3"/>
          <w:rFonts w:ascii="仿宋" w:hAnsi="仿宋"/>
          <w:color w:val="auto"/>
          <w:sz w:val="32"/>
        </w:rPr>
        <w:t xml:space="preserve">  违反本条例规定，未经批准驾驶超限超载货运车辆的，由公路管理机构或者公安机关交通管理部门责令消除违法行为，并依照《中华人民共和国公路法》、《中华人民共和国道路交通安全法》等有关法律、法规的规定予以处罚。构成犯罪的，依法追究刑事责任。</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仿宋" w:hAnsi="仿宋"/>
          <w:color w:val="auto"/>
          <w:sz w:val="32"/>
        </w:rPr>
        <w:t>对于同一违法超限超载运输行为，已由一个行政机关给予罚款处罚的，另一个行政机关不得再给予罚款处罚。</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黑体" w:hAnsi="黑体"/>
          <w:color w:val="auto"/>
          <w:sz w:val="32"/>
        </w:rPr>
        <w:t>第三十四条</w:t>
      </w:r>
      <w:r>
        <w:rPr>
          <w:rStyle w:val="C3"/>
          <w:rFonts w:ascii="仿宋" w:hAnsi="仿宋"/>
          <w:color w:val="auto"/>
          <w:sz w:val="32"/>
        </w:rPr>
        <w:t xml:space="preserve">  对一年内违法超限超载运输超过三次的货运车辆，由道路运输管理机构吊销其车辆营运证；对一年内违法超限超载运输超过三次的货运车辆驾驶人，由道路运输管理机构吊销其道路运输从业资格证；道路运输企业一年内违法超限超载运输的货运车辆超过本单位货运车辆总数百分之十的，由道路运输管理机构责令道路运输企业停业整顿；情节严重的，吊销其道路运输经营许可证，并向社会公告。</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仿宋" w:hAnsi="仿宋"/>
          <w:color w:val="auto"/>
          <w:sz w:val="32"/>
        </w:rPr>
        <w:t>依照前款规定被吊销车辆营运证、道路运输从业资格证和经营许可证，有关货运车辆、货运车辆驾驶人和货运经营者重新申领的，有关部门在处罚执行完毕之日起一年内不予办理。</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黑体" w:hAnsi="黑体"/>
          <w:color w:val="auto"/>
          <w:sz w:val="32"/>
        </w:rPr>
        <w:t>第三十五条</w:t>
      </w:r>
      <w:r>
        <w:rPr>
          <w:rStyle w:val="C3"/>
          <w:rFonts w:ascii="仿宋" w:hAnsi="仿宋"/>
          <w:color w:val="auto"/>
          <w:sz w:val="32"/>
        </w:rPr>
        <w:t xml:space="preserve">  交通运输、公安机关交通管理等部门及其工作人员违反本条例规定，有下列情形之一的，由其所在单位或者监察机关对直接负责的主管人员和其他直接责任人员，依法给予行政处分；构成犯罪的，依法追究刑事责任：</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仿宋" w:hAnsi="仿宋"/>
          <w:color w:val="auto"/>
          <w:sz w:val="32"/>
        </w:rPr>
        <w:t>（一）对不符合机动车国家安全技术标准的货运车辆予以注册登记、发放检验合格标志的；</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仿宋" w:hAnsi="仿宋"/>
          <w:color w:val="auto"/>
          <w:sz w:val="32"/>
        </w:rPr>
        <w:t>（二）对未经检测合格的货运车辆核发车辆营运证的；</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仿宋" w:hAnsi="仿宋"/>
          <w:color w:val="auto"/>
          <w:sz w:val="32"/>
        </w:rPr>
        <w:t>（三）违反规定为超限运输车辆办理通行证的；</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仿宋" w:hAnsi="仿宋"/>
          <w:color w:val="auto"/>
          <w:sz w:val="32"/>
        </w:rPr>
        <w:t>（四）违反规定放行超限超载货运车辆或者不责令承运人采取卸载、分装等改正措施，消除违法状态的；</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仿宋" w:hAnsi="仿宋"/>
          <w:color w:val="auto"/>
          <w:sz w:val="32"/>
        </w:rPr>
        <w:t>（五）违法扣留货运车辆或者使用扣留货运车辆的；</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仿宋" w:hAnsi="仿宋"/>
          <w:color w:val="auto"/>
          <w:sz w:val="32"/>
        </w:rPr>
        <w:t>（六）对有关部门抄告、移送的案件不及时查处的；</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仿宋" w:hAnsi="仿宋"/>
          <w:color w:val="auto"/>
          <w:sz w:val="32"/>
        </w:rPr>
        <w:t>（七）接到货运车辆超限超载违法行为的投诉、举报，未及时组织核查并依法处理的；</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仿宋" w:hAnsi="仿宋"/>
          <w:color w:val="auto"/>
          <w:sz w:val="32"/>
        </w:rPr>
        <w:t>（八）索取、收受他人财物或者谋取其他利益的；</w:t>
      </w: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仿宋" w:hAnsi="仿宋"/>
          <w:color w:val="auto"/>
          <w:sz w:val="32"/>
        </w:rPr>
        <w:t>（九）其他滥用职权、玩忽职守、徇私舞弊行为的。</w:t>
      </w:r>
    </w:p>
    <w:p>
      <w:pPr>
        <w:pStyle w:val="P1"/>
        <w:keepNext w:val="0"/>
        <w:keepLines w:val="0"/>
        <w:widowControl w:val="0"/>
        <w:spacing w:lineRule="exact" w:line="578" w:before="0" w:after="0"/>
        <w:ind w:firstLine="632" w:left="0" w:right="0"/>
        <w:jc w:val="both"/>
        <w:rPr>
          <w:rStyle w:val="C3"/>
          <w:rFonts w:ascii="仿宋" w:hAnsi="仿宋"/>
          <w:color w:val="auto"/>
          <w:sz w:val="32"/>
        </w:rPr>
      </w:pPr>
    </w:p>
    <w:p>
      <w:pPr>
        <w:pStyle w:val="P1"/>
        <w:keepNext w:val="0"/>
        <w:keepLines w:val="0"/>
        <w:widowControl w:val="0"/>
        <w:spacing w:lineRule="exact" w:line="578" w:before="0" w:after="0"/>
        <w:ind w:right="0"/>
        <w:jc w:val="center"/>
        <w:rPr>
          <w:rStyle w:val="C3"/>
          <w:rFonts w:ascii="黑体" w:hAnsi="黑体"/>
          <w:color w:val="auto"/>
          <w:sz w:val="32"/>
        </w:rPr>
      </w:pPr>
      <w:r>
        <w:rPr>
          <w:rStyle w:val="C3"/>
          <w:rFonts w:ascii="黑体" w:hAnsi="黑体"/>
          <w:color w:val="auto"/>
          <w:sz w:val="32"/>
        </w:rPr>
        <w:t xml:space="preserve">第五章  附则</w:t>
      </w:r>
    </w:p>
    <w:p>
      <w:pPr>
        <w:pStyle w:val="P1"/>
        <w:keepNext w:val="0"/>
        <w:keepLines w:val="0"/>
        <w:widowControl w:val="0"/>
        <w:spacing w:lineRule="exact" w:line="578" w:before="0" w:after="0"/>
        <w:ind w:firstLine="632" w:left="0" w:right="0"/>
        <w:jc w:val="both"/>
        <w:rPr>
          <w:rStyle w:val="C3"/>
          <w:rFonts w:ascii="黑体" w:hAnsi="黑体"/>
          <w:color w:val="auto"/>
          <w:sz w:val="32"/>
        </w:rPr>
      </w:pPr>
    </w:p>
    <w:p>
      <w:pPr>
        <w:pStyle w:val="P1"/>
        <w:keepNext w:val="0"/>
        <w:keepLines w:val="0"/>
        <w:widowControl w:val="0"/>
        <w:spacing w:lineRule="exact" w:line="578" w:before="0" w:after="0"/>
        <w:ind w:firstLine="632" w:left="0" w:right="0"/>
        <w:jc w:val="both"/>
        <w:rPr>
          <w:rStyle w:val="C3"/>
          <w:rFonts w:ascii="仿宋" w:hAnsi="仿宋"/>
          <w:color w:val="auto"/>
          <w:sz w:val="32"/>
        </w:rPr>
      </w:pPr>
      <w:r>
        <w:rPr>
          <w:rStyle w:val="C3"/>
          <w:rFonts w:ascii="黑体" w:hAnsi="黑体"/>
          <w:color w:val="auto"/>
          <w:sz w:val="32"/>
        </w:rPr>
        <w:t>第三十六条</w:t>
      </w:r>
      <w:r>
        <w:rPr>
          <w:rStyle w:val="C3"/>
          <w:rFonts w:ascii="仿宋" w:hAnsi="仿宋"/>
          <w:color w:val="auto"/>
          <w:sz w:val="32"/>
        </w:rPr>
        <w:t xml:space="preserve">  本条例自2017年2月1日起施行。</w:t>
      </w:r>
    </w:p>
    <w:p>
      <w:pPr>
        <w:pStyle w:val="P1"/>
        <w:keepNext w:val="0"/>
        <w:keepLines w:val="0"/>
        <w:widowControl w:val="0"/>
        <w:spacing w:lineRule="exact" w:line="578"/>
        <w:ind w:firstLine="632"/>
        <w:rPr>
          <w:rStyle w:val="C3"/>
          <w:rFonts w:ascii="仿宋" w:hAnsi="仿宋"/>
          <w:sz w:val="32"/>
        </w:rPr>
      </w:pPr>
    </w:p>
    <w:p>
      <w:pPr>
        <w:pStyle w:val="P1"/>
        <w:keepNext w:val="0"/>
        <w:keepLines w:val="0"/>
        <w:widowControl w:val="0"/>
        <w:spacing w:lineRule="exact" w:line="578"/>
        <w:ind w:firstLine="632"/>
        <w:rPr>
          <w:rStyle w:val="C3"/>
          <w:rFonts w:ascii="仿宋" w:hAnsi="仿宋"/>
          <w:sz w:val="32"/>
        </w:rPr>
      </w:pPr>
    </w:p>
    <w:sectPr>
      <w:footerReference xmlns:r="http://schemas.openxmlformats.org/officeDocument/2006/relationships" w:type="default" r:id="RelFtr1"/>
      <w:type w:val="nextPage"/>
      <w:pgSz w:w="11906" w:h="16838" w:code="0"/>
      <w:pgMar w:left="1587" w:right="1474" w:top="2098" w:bottom="1984" w:header="851" w:footer="158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0"/>
      <w:tabs>
        <w:tab w:val="left" w:pos="444" w:leader="none"/>
        <w:tab w:val="clear" w:pos="4153" w:leader="none"/>
        <w:tab w:val="right" w:pos="8306" w:leader="none"/>
      </w:tabs>
      <w:rPr>
        <w:rStyle w:val="C3"/>
        <w:rFonts w:ascii="宋体" w:hAnsi="宋体"/>
        <w:sz w:val="28"/>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-21590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20"/>
                            <w:keepNext w:val="0"/>
                            <w:keepLines w:val="0"/>
                            <w:widowControl w:val="0"/>
                            <w:tabs>
                              <w:tab w:val="center" w:pos="4153" w:leader="none"/>
                              <w:tab w:val="right" w:pos="8306" w:leader="none"/>
                            </w:tabs>
                            <w:ind w:left="320" w:right="320"/>
                            <w:rPr>
                              <w:rStyle w:val="C3"/>
                            </w:rPr>
                          </w:pPr>
                          <w:r>
                            <w:rPr>
                              <w:rStyle w:val="C3"/>
                              <w:rFonts w:ascii="仿宋" w:hAnsi="仿宋"/>
                              <w:sz w:val="28"/>
                            </w:rPr>
                            <w:t xml:space="preserve">— </w:t>
                          </w:r>
                          <w:r>
                            <w:rPr>
                              <w:rStyle w:val="C3"/>
                              <w:rFonts w:ascii="仿宋" w:hAnsi="仿宋"/>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r>
                            <w:rPr>
                              <w:rStyle w:val="C3"/>
                              <w:rFonts w:ascii="仿宋" w:hAnsi="仿宋"/>
                              <w:sz w:val="28"/>
                            </w:rPr>
                            <w:t>—</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1.7pt;mso-position-horizontal:outside;mso-position-horizontal-relative:margin;mso-position-vertical:absolute;mso-position-vertical-relative:text" stroked="f" o:allowincell="t">
              <v:textbox style="mso-fit-shape-to-text:t" inset="0mm,0mm,0mm,0mm">
                <w:txbxContent>
                  <w:p>
                    <w:pPr>
                      <w:pStyle w:val="P20"/>
                      <w:keepNext w:val="0"/>
                      <w:keepLines w:val="0"/>
                      <w:widowControl w:val="0"/>
                      <w:tabs>
                        <w:tab w:val="center" w:pos="4153" w:leader="none"/>
                        <w:tab w:val="right" w:pos="8306" w:leader="none"/>
                      </w:tabs>
                      <w:ind w:left="320" w:right="320"/>
                      <w:rPr>
                        <w:rStyle w:val="C3"/>
                      </w:rPr>
                    </w:pPr>
                    <w:r>
                      <w:rPr>
                        <w:rStyle w:val="C3"/>
                        <w:rFonts w:ascii="仿宋" w:hAnsi="仿宋"/>
                        <w:sz w:val="28"/>
                      </w:rPr>
                      <w:t xml:space="preserve">— </w:t>
                    </w:r>
                    <w:r>
                      <w:rPr>
                        <w:rStyle w:val="C3"/>
                        <w:rFonts w:ascii="仿宋" w:hAnsi="仿宋"/>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r>
                      <w:rPr>
                        <w:rStyle w:val="C3"/>
                        <w:rFonts w:ascii="仿宋" w:hAnsi="仿宋"/>
                        <w:sz w:val="28"/>
                      </w:rPr>
                      <w:t>—</w:t>
                    </w:r>
                  </w:p>
                </w:txbxContent>
              </v:textbox>
            </v:shape>
          </w:pict>
        </mc:Fallback>
      </mc:AlternateContent>
    </w: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20"/>
                            <w:tabs>
                              <w:tab w:val="center" w:pos="4153" w:leader="none"/>
                              <w:tab w:val="right" w:pos="8306" w:leader="none"/>
                            </w:tabs>
                          </w:pP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20"/>
                      <w:tabs>
                        <w:tab w:val="center" w:pos="4153" w:leader="none"/>
                        <w:tab w:val="right" w:pos="8306" w:leader="none"/>
                      </w:tabs>
                    </w:pPr>
                  </w:p>
                </w:txbxContent>
              </v:textbox>
            </v:shape>
          </w:pict>
        </mc:Fallback>
      </mc:AlternateContent>
    </w:r>
    <w:r>
      <w:tab/>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仿宋_GB2312" w:hAnsi="仿宋_GB2312"/>
      <w:sz w:val="32"/>
    </w:rPr>
  </w:style>
  <w:style w:type="paragraph" w:styleId="P2">
    <w:name w:val="Normal New"/>
    <w:next w:val="P2"/>
    <w:pPr>
      <w:widowControl w:val="0"/>
      <w:jc w:val="both"/>
    </w:pPr>
    <w:rPr>
      <w:rFonts w:ascii="Times New Roman" w:hAnsi="Times New Roman"/>
      <w:sz w:val="21"/>
    </w:rPr>
  </w:style>
  <w:style w:type="paragraph" w:styleId="P3">
    <w:name w:val="Normal New New New New"/>
    <w:next w:val="P3"/>
    <w:pPr>
      <w:widowControl w:val="0"/>
      <w:jc w:val="both"/>
    </w:pPr>
    <w:rPr>
      <w:rFonts w:ascii="Calibri" w:hAnsi="Calibri"/>
      <w:sz w:val="21"/>
    </w:rPr>
  </w:style>
  <w:style w:type="paragraph" w:styleId="P4">
    <w:name w:val="正文 New New"/>
    <w:next w:val="P4"/>
    <w:pPr>
      <w:widowControl w:val="0"/>
      <w:jc w:val="both"/>
    </w:pPr>
    <w:rPr>
      <w:rFonts w:ascii="Calibri" w:hAnsi="Calibri"/>
      <w:sz w:val="32"/>
    </w:rPr>
  </w:style>
  <w:style w:type="paragraph" w:styleId="P5">
    <w:name w:val="正文 New New New New"/>
    <w:next w:val="P5"/>
    <w:pPr>
      <w:widowControl w:val="0"/>
      <w:jc w:val="both"/>
    </w:pPr>
    <w:rPr>
      <w:rFonts w:ascii="Times New Roman" w:hAnsi="Times New Roman"/>
      <w:sz w:val="21"/>
    </w:rPr>
  </w:style>
  <w:style w:type="paragraph" w:styleId="P6">
    <w:name w:val="Normal New New New New New"/>
    <w:next w:val="P6"/>
    <w:pPr>
      <w:widowControl w:val="0"/>
      <w:jc w:val="both"/>
    </w:pPr>
    <w:rPr>
      <w:rFonts w:ascii="Times New Roman" w:hAnsi="Times New Roman"/>
      <w:sz w:val="21"/>
    </w:rPr>
  </w:style>
  <w:style w:type="paragraph" w:styleId="P7">
    <w:name w:val="Normal New New"/>
    <w:next w:val="P7"/>
    <w:pPr>
      <w:widowControl w:val="0"/>
      <w:jc w:val="both"/>
    </w:pPr>
    <w:rPr>
      <w:rFonts w:ascii="Times New Roman" w:hAnsi="Times New Roman"/>
      <w:sz w:val="32"/>
    </w:rPr>
  </w:style>
  <w:style w:type="paragraph" w:styleId="P8">
    <w:name w:val="Normal New New New"/>
    <w:next w:val="P8"/>
    <w:pPr>
      <w:widowControl w:val="0"/>
      <w:jc w:val="both"/>
    </w:pPr>
    <w:rPr>
      <w:rFonts w:ascii="Calibri" w:hAnsi="Calibri"/>
      <w:sz w:val="21"/>
    </w:rPr>
  </w:style>
  <w:style w:type="paragraph" w:styleId="P9">
    <w:name w:val="正文 New New New"/>
    <w:next w:val="P9"/>
    <w:pPr>
      <w:widowControl w:val="0"/>
      <w:jc w:val="both"/>
    </w:pPr>
    <w:rPr>
      <w:rFonts w:ascii="Calibri" w:hAnsi="Calibri"/>
      <w:sz w:val="21"/>
    </w:rPr>
  </w:style>
  <w:style w:type="paragraph" w:styleId="P10">
    <w:name w:val="正文 New New New New New"/>
    <w:next w:val="P10"/>
    <w:pPr>
      <w:widowControl w:val="0"/>
      <w:jc w:val="both"/>
    </w:pPr>
    <w:rPr>
      <w:rFonts w:ascii="Times New Roman" w:hAnsi="Times New Roman"/>
      <w:sz w:val="21"/>
    </w:rPr>
  </w:style>
  <w:style w:type="paragraph" w:styleId="P11">
    <w:name w:val="正文 New New New New New New New New New New New New New New New New New New New"/>
    <w:next w:val="P11"/>
    <w:pPr>
      <w:widowControl w:val="0"/>
      <w:jc w:val="both"/>
    </w:pPr>
    <w:rPr>
      <w:rFonts w:ascii="Times New Roman" w:hAnsi="Times New Roman"/>
      <w:sz w:val="21"/>
    </w:rPr>
  </w:style>
  <w:style w:type="paragraph" w:styleId="P12">
    <w:name w:val="正文 New New New New New New New New New New New New New New New New New New New New"/>
    <w:next w:val="P12"/>
    <w:pPr>
      <w:widowControl w:val="0"/>
      <w:jc w:val="both"/>
    </w:pPr>
    <w:rPr>
      <w:rFonts w:ascii="Times New Roman" w:hAnsi="Times New Roman"/>
      <w:sz w:val="21"/>
    </w:rPr>
  </w:style>
  <w:style w:type="paragraph" w:styleId="P13">
    <w:name w:val="正文 New New New New New New"/>
    <w:next w:val="P13"/>
    <w:pPr>
      <w:widowControl w:val="0"/>
      <w:jc w:val="both"/>
    </w:pPr>
    <w:rPr>
      <w:rFonts w:ascii="Times New Roman" w:hAnsi="Times New Roman"/>
      <w:sz w:val="32"/>
    </w:rPr>
  </w:style>
  <w:style w:type="paragraph" w:styleId="P14">
    <w:name w:val="正文 New New New New New New New"/>
    <w:next w:val="P14"/>
    <w:pPr>
      <w:widowControl w:val="0"/>
      <w:jc w:val="both"/>
    </w:pPr>
    <w:rPr>
      <w:rFonts w:ascii="Calibri" w:hAnsi="Calibri"/>
      <w:sz w:val="21"/>
    </w:rPr>
  </w:style>
  <w:style w:type="paragraph" w:styleId="P15">
    <w:name w:val="正文 New New New New New New New New New New New New New New New New New New New New New"/>
    <w:next w:val="P15"/>
    <w:pPr>
      <w:widowControl w:val="0"/>
      <w:jc w:val="both"/>
    </w:pPr>
    <w:rPr>
      <w:rFonts w:ascii="Times New Roman" w:hAnsi="Times New Roman"/>
      <w:sz w:val="21"/>
    </w:rPr>
  </w:style>
  <w:style w:type="paragraph" w:styleId="P16">
    <w:name w:val="正文 New New New New New New New New New"/>
    <w:next w:val="P16"/>
    <w:pPr>
      <w:widowControl w:val="0"/>
      <w:jc w:val="both"/>
    </w:pPr>
    <w:rPr>
      <w:rFonts w:ascii="Calibri" w:hAnsi="Calibri"/>
      <w:sz w:val="21"/>
    </w:rPr>
  </w:style>
  <w:style w:type="paragraph" w:styleId="P17">
    <w:name w:val="标题 1"/>
    <w:basedOn w:val="P1"/>
    <w:next w:val="P1"/>
    <w:pPr>
      <w:keepNext w:val="1"/>
      <w:keepLines w:val="1"/>
      <w:spacing w:lineRule="exact" w:line="560"/>
      <w:ind w:firstLine="0"/>
      <w:jc w:val="center"/>
      <w:outlineLvl w:val="0"/>
    </w:pPr>
    <w:rPr>
      <w:rFonts w:ascii="Calibri" w:hAnsi="Calibri"/>
      <w:sz w:val="32"/>
    </w:rPr>
  </w:style>
  <w:style w:type="paragraph" w:styleId="P18">
    <w:name w:val="页眉"/>
    <w:basedOn w:val="P1"/>
    <w:next w:val="P18"/>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paragraph" w:styleId="P19">
    <w:name w:val="目录 1"/>
    <w:basedOn w:val="P1"/>
    <w:next w:val="P1"/>
    <w:pPr>
      <w:spacing w:lineRule="exact" w:line="560"/>
      <w:ind w:left="630" w:right="630"/>
    </w:pPr>
    <w:rPr>
      <w:sz w:val="32"/>
    </w:rPr>
  </w:style>
  <w:style w:type="paragraph" w:styleId="P20">
    <w:name w:val="页脚"/>
    <w:basedOn w:val="P1"/>
    <w:next w:val="P20"/>
    <w:pPr>
      <w:tabs>
        <w:tab w:val="center" w:pos="4153" w:leader="none"/>
        <w:tab w:val="right" w:pos="8306" w:leader="none"/>
      </w:tabs>
      <w:jc w:val="left"/>
    </w:pPr>
    <w:rPr>
      <w:sz w:val="18"/>
    </w:rPr>
  </w:style>
  <w:style w:type="paragraph" w:styleId="P21">
    <w:name w:val="Char1"/>
    <w:basedOn w:val="P1"/>
    <w:next w:val="P21"/>
    <w:link w:val="C3"/>
    <w:pPr/>
    <w:rPr/>
  </w:style>
  <w:style w:type="paragraph" w:styleId="P22">
    <w:name w:val="Normal (Web)"/>
    <w:basedOn w:val="P1"/>
    <w:next w:val="P22"/>
    <w:pPr>
      <w:widowControl w:val="1"/>
      <w:spacing w:before="100" w:after="100" w:beforeAutospacing="1" w:afterAutospacing="1"/>
      <w:jc w:val="left"/>
    </w:pPr>
    <w:rPr>
      <w:rFonts w:ascii="宋体" w:hAnsi="宋体"/>
      <w:sz w:val="24"/>
    </w:rPr>
  </w:style>
  <w:style w:type="paragraph" w:styleId="P23">
    <w:name w:val="正文 New New New New New New New New New New New New New New New New New New New New New New New New New New New New New New New New New New New New New New New New New New New New New New New New New New New New New New New New New New New New New New Ne"/>
    <w:basedOn w:val="P4"/>
    <w:next w:val="P23"/>
    <w:pPr>
      <w:keepNext w:val="0"/>
      <w:keepLines w:val="0"/>
      <w:widowControl w:val="0"/>
      <w:suppressLineNumbers w:val="0"/>
      <w:spacing w:before="0" w:after="0" w:beforeAutospacing="0" w:afterAutospacing="0"/>
      <w:ind w:left="0" w:right="0"/>
      <w:jc w:val="both"/>
    </w:pPr>
    <w:rPr>
      <w:rFonts w:ascii="Calibri" w:hAnsi="Calibri"/>
      <w:sz w:val="21"/>
    </w:rPr>
  </w:style>
  <w:style w:type="paragraph" w:styleId="P24">
    <w:name w:val="普通(网站) New"/>
    <w:basedOn w:val="P10"/>
    <w:next w:val="P24"/>
    <w:pPr>
      <w:widowControl w:val="1"/>
      <w:spacing w:before="100" w:after="100" w:beforeAutospacing="1" w:afterAutospacing="1"/>
      <w:jc w:val="left"/>
    </w:pPr>
    <w:rPr>
      <w:rFonts w:ascii="宋体" w:hAnsi="宋体"/>
      <w:sz w:val="24"/>
    </w:rPr>
  </w:style>
  <w:style w:type="paragraph" w:styleId="P25">
    <w:name w:val="普通(网站) New New"/>
    <w:basedOn w:val="P14"/>
    <w:next w:val="P25"/>
    <w:pPr>
      <w:pBdr>
        <w:top w:val="none" w:sz="0" w:space="0" w:shadow="0" w:frame="0"/>
        <w:left w:val="none" w:sz="0" w:space="0" w:shadow="0" w:frame="0"/>
        <w:bottom w:val="none" w:sz="0" w:space="0" w:shadow="0" w:frame="0"/>
        <w:right w:val="none" w:sz="0" w:space="0" w:shadow="0" w:frame="0"/>
      </w:pBdr>
      <w:spacing w:before="0" w:after="0" w:beforeAutospacing="0" w:afterAutospacing="0"/>
      <w:ind w:left="0" w:right="0"/>
      <w:jc w:val="left"/>
    </w:pPr>
    <w:rPr>
      <w:sz w:val="24"/>
    </w:rPr>
  </w:style>
  <w:style w:type="paragraph" w:styleId="P26">
    <w:name w:val="List Paragraph"/>
    <w:basedOn w:val="P23"/>
    <w:next w:val="P26"/>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1"/>
    <w:rPr/>
  </w:style>
  <w:style w:type="character" w:styleId="C4">
    <w:name w:val="bjh-p"/>
    <w:rPr/>
  </w:style>
  <w:style w:type="character" w:styleId="C5">
    <w:name w:val="page number"/>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2020-04-30T08:08:00Z</dcterms:created>
  <cp:lastModifiedBy>f1TZOF\f1TZOF-</cp:lastModifiedBy>
  <dcterms:modified xsi:type="dcterms:W3CDTF">2024-08-28T01:34:24Z</dcterms:modified>
  <cp:revision>2</cp:revision>
  <dc:title>msc</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