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C97BB7" Type="http://schemas.openxmlformats.org/officeDocument/2006/relationships/officeDocument" Target="/word/document.xml" /><Relationship Id="coreR16C97BB7" Type="http://schemas.openxmlformats.org/package/2006/relationships/metadata/core-properties" Target="/docProps/core.xml" /><Relationship Id="customR16C97BB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90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"/>
        <w:spacing w:lineRule="exact" w:line="590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"/>
        <w:spacing w:lineRule="exact" w:line="590"/>
        <w:jc w:val="center"/>
        <w:rPr>
          <w:rStyle w:val="C3"/>
          <w:rFonts w:ascii="宋体" w:hAnsi="宋体"/>
          <w:sz w:val="32"/>
        </w:rPr>
      </w:pPr>
      <w:r>
        <w:rPr>
          <w:rStyle w:val="C3"/>
          <w:rFonts w:ascii="宋体" w:hAnsi="宋体"/>
          <w:sz w:val="44"/>
        </w:rPr>
        <w:t>哈尔滨市水生态监测条例</w:t>
      </w:r>
    </w:p>
    <w:p>
      <w:pPr>
        <w:pStyle w:val="P1"/>
        <w:spacing w:lineRule="exact" w:line="590"/>
        <w:jc w:val="center"/>
        <w:rPr>
          <w:rStyle w:val="C3"/>
          <w:rFonts w:ascii="方正小标宋简体" w:hAnsi="方正小标宋简体"/>
          <w:sz w:val="32"/>
        </w:rPr>
      </w:pPr>
    </w:p>
    <w:p>
      <w:pPr>
        <w:pStyle w:val="P1"/>
        <w:spacing w:lineRule="exact" w:line="590"/>
        <w:ind w:firstLine="600" w:left="420" w:right="420"/>
        <w:jc w:val="left"/>
        <w:rPr>
          <w:rStyle w:val="C3"/>
          <w:rFonts w:ascii="楷体_GB2312" w:hAnsi="楷体_GB2312"/>
          <w:sz w:val="30"/>
        </w:rPr>
      </w:pPr>
      <w:r>
        <w:rPr>
          <w:rStyle w:val="C3"/>
          <w:rFonts w:ascii="Microsoft YaHei UI" w:hAnsi="Microsoft YaHei UI"/>
          <w:sz w:val="30"/>
        </w:rPr>
        <w:t>（</w:t>
      </w:r>
      <w:r>
        <w:rPr>
          <w:rStyle w:val="C3"/>
          <w:rFonts w:ascii="楷体_GB2312" w:hAnsi="楷体_GB2312"/>
          <w:sz w:val="30"/>
        </w:rPr>
        <w:t>2011</w:t>
      </w:r>
      <w:r>
        <w:rPr>
          <w:rStyle w:val="C3"/>
          <w:rFonts w:ascii="Microsoft YaHei UI" w:hAnsi="Microsoft YaHei UI"/>
          <w:sz w:val="30"/>
        </w:rPr>
        <w:t>年</w:t>
      </w:r>
      <w:r>
        <w:rPr>
          <w:rStyle w:val="C3"/>
          <w:rFonts w:ascii="楷体_GB2312" w:hAnsi="楷体_GB2312"/>
          <w:sz w:val="30"/>
        </w:rPr>
        <w:t>9</w:t>
      </w:r>
      <w:r>
        <w:rPr>
          <w:rStyle w:val="C3"/>
          <w:rFonts w:ascii="Microsoft YaHei UI" w:hAnsi="Microsoft YaHei UI"/>
          <w:sz w:val="30"/>
        </w:rPr>
        <w:t>月</w:t>
      </w:r>
      <w:r>
        <w:rPr>
          <w:rStyle w:val="C3"/>
          <w:rFonts w:ascii="楷体_GB2312" w:hAnsi="楷体_GB2312"/>
          <w:sz w:val="30"/>
        </w:rPr>
        <w:t>27</w:t>
      </w:r>
      <w:r>
        <w:rPr>
          <w:rStyle w:val="C3"/>
          <w:rFonts w:ascii="Microsoft YaHei UI" w:hAnsi="Microsoft YaHei UI"/>
          <w:sz w:val="30"/>
        </w:rPr>
        <w:t>日哈尔滨市第十三届人民代表大会常务委员会第三十一次会议通过，</w:t>
      </w:r>
      <w:r>
        <w:rPr>
          <w:rStyle w:val="C3"/>
          <w:rFonts w:ascii="楷体_GB2312" w:hAnsi="楷体_GB2312"/>
          <w:sz w:val="30"/>
        </w:rPr>
        <w:t>2011</w:t>
      </w:r>
      <w:r>
        <w:rPr>
          <w:rStyle w:val="C3"/>
          <w:rFonts w:ascii="Microsoft YaHei UI" w:hAnsi="Microsoft YaHei UI"/>
          <w:sz w:val="30"/>
        </w:rPr>
        <w:t>年</w:t>
      </w:r>
      <w:r>
        <w:rPr>
          <w:rStyle w:val="C3"/>
          <w:rFonts w:ascii="楷体_GB2312" w:hAnsi="楷体_GB2312"/>
          <w:sz w:val="30"/>
        </w:rPr>
        <w:t>12</w:t>
      </w:r>
      <w:r>
        <w:rPr>
          <w:rStyle w:val="C3"/>
          <w:rFonts w:ascii="Microsoft YaHei UI" w:hAnsi="Microsoft YaHei UI"/>
          <w:sz w:val="30"/>
        </w:rPr>
        <w:t>月</w:t>
      </w:r>
      <w:r>
        <w:rPr>
          <w:rStyle w:val="C3"/>
          <w:rFonts w:ascii="楷体_GB2312" w:hAnsi="楷体_GB2312"/>
          <w:sz w:val="30"/>
        </w:rPr>
        <w:t>8</w:t>
      </w:r>
      <w:r>
        <w:rPr>
          <w:rStyle w:val="C3"/>
          <w:rFonts w:ascii="Microsoft YaHei UI" w:hAnsi="Microsoft YaHei UI"/>
          <w:sz w:val="30"/>
        </w:rPr>
        <w:t>日黑龙江省第十一届人民代表大会常务委员会第二十九次会议批准）</w:t>
      </w:r>
    </w:p>
    <w:p>
      <w:pPr>
        <w:pStyle w:val="P1"/>
        <w:spacing w:lineRule="exact" w:line="590"/>
        <w:ind w:firstLine="600"/>
        <w:jc w:val="left"/>
        <w:rPr>
          <w:rStyle w:val="C3"/>
          <w:rFonts w:ascii="楷体_GB2312" w:hAnsi="楷体_GB2312"/>
          <w:sz w:val="30"/>
        </w:rPr>
      </w:pPr>
    </w:p>
    <w:p>
      <w:pPr>
        <w:pStyle w:val="P1"/>
        <w:widowControl w:val="1"/>
        <w:spacing w:lineRule="exact" w:line="59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目</w:t>
      </w:r>
      <w:r>
        <w:rPr>
          <w:rStyle w:val="C3"/>
          <w:rFonts w:ascii="楷体_GB2312" w:hAnsi="楷体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录</w:t>
      </w:r>
    </w:p>
    <w:p>
      <w:pPr>
        <w:pStyle w:val="P1"/>
        <w:widowControl w:val="1"/>
        <w:spacing w:lineRule="exact" w:line="590"/>
        <w:ind w:left="63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第一章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总则</w:t>
      </w:r>
    </w:p>
    <w:p>
      <w:pPr>
        <w:pStyle w:val="P1"/>
        <w:widowControl w:val="1"/>
        <w:spacing w:lineRule="exact" w:line="590"/>
        <w:ind w:left="63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第二章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规划与建设</w:t>
      </w:r>
    </w:p>
    <w:p>
      <w:pPr>
        <w:pStyle w:val="P1"/>
        <w:widowControl w:val="1"/>
        <w:spacing w:lineRule="exact" w:line="590"/>
        <w:ind w:left="63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第三章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监测与评价</w:t>
      </w:r>
    </w:p>
    <w:p>
      <w:pPr>
        <w:pStyle w:val="P1"/>
        <w:widowControl w:val="1"/>
        <w:spacing w:lineRule="exact" w:line="590"/>
        <w:ind w:left="63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第四章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设施设备与监测范围保护</w:t>
      </w:r>
    </w:p>
    <w:p>
      <w:pPr>
        <w:pStyle w:val="P1"/>
        <w:widowControl w:val="1"/>
        <w:spacing w:lineRule="exact" w:line="590"/>
        <w:ind w:left="63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第五章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法律责任</w:t>
      </w:r>
    </w:p>
    <w:p>
      <w:pPr>
        <w:pStyle w:val="P1"/>
        <w:widowControl w:val="1"/>
        <w:spacing w:lineRule="exact" w:line="590"/>
        <w:ind w:left="63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第六章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附则</w:t>
      </w:r>
    </w:p>
    <w:p>
      <w:pPr>
        <w:pStyle w:val="P1"/>
        <w:spacing w:lineRule="exact" w:line="590"/>
        <w:ind w:firstLine="640"/>
        <w:jc w:val="left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jc w:val="center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 xml:space="preserve">第一章  总则</w:t>
      </w:r>
    </w:p>
    <w:p>
      <w:pPr>
        <w:pStyle w:val="P1"/>
        <w:spacing w:lineRule="exact" w:line="590"/>
        <w:jc w:val="center"/>
        <w:rPr>
          <w:rStyle w:val="C3"/>
          <w:rFonts w:ascii="黑体" w:hAnsi="黑体"/>
          <w:sz w:val="32"/>
        </w:rPr>
      </w:pP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为了加强水生态监测，保护与修复水生态系统，促进经济社会可持续发展，根据《中华人民共和国水法》等法律、法规规定，结合本市实际</w:t>
      </w:r>
      <w:r>
        <w:rPr>
          <w:rStyle w:val="C3"/>
          <w:rFonts w:ascii="仿宋_GB2312" w:hAnsi="仿宋_GB2312"/>
          <w:sz w:val="32"/>
        </w:rPr>
        <w:t>,</w:t>
      </w:r>
      <w:r>
        <w:rPr>
          <w:rStyle w:val="C3"/>
          <w:rFonts w:ascii="Microsoft YaHei UI" w:hAnsi="Microsoft YaHei UI"/>
          <w:sz w:val="32"/>
        </w:rPr>
        <w:t>制定本条例。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本条例适用于本市行政区域内水生态监测及其相关活动。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本条例所称水生态，是指水生生物和环境之间相互作用的生态系统。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本条例所称水生态监测，是指通过对水文、水生生物、水质等水生态要素的监测和数据收集，分析评价水生态的现状和变化</w:t>
      </w:r>
      <w:r>
        <w:rPr>
          <w:rStyle w:val="C3"/>
          <w:rFonts w:ascii="仿宋_GB2312" w:hAnsi="仿宋_GB2312"/>
          <w:sz w:val="32"/>
        </w:rPr>
        <w:t>,</w:t>
      </w:r>
      <w:r>
        <w:rPr>
          <w:rStyle w:val="C3"/>
          <w:rFonts w:ascii="Microsoft YaHei UI" w:hAnsi="Microsoft YaHei UI"/>
          <w:sz w:val="32"/>
        </w:rPr>
        <w:t>为水生态系统保护与修复提供依据的活动。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市水行政主管部门负责本条例的组织实施。市水生态监测机构负责水生态监测的日常管理工作。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区、县（市）水行政主管部门应当按照职责权限，负责本辖区内水生态监测工作。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环境保护、林业、农业等部门按照各自职责，负责水生态监测的相关工作。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市和区、县（市）人民政府应当加强水生态监测系统建设，逐步完善水生态评估体系，发挥水生态监测工作在政府决策、经济社会发展和服务社会公众中的作用。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市和区、县（市）人民政府应当将水生态监测工作所需经费列入本级财政预算，保障水生态监测工作的开展。</w:t>
      </w:r>
    </w:p>
    <w:p>
      <w:pPr>
        <w:pStyle w:val="P1"/>
        <w:spacing w:lineRule="exact" w:line="590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jc w:val="center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第二章  规划与建设</w:t>
      </w:r>
    </w:p>
    <w:p>
      <w:pPr>
        <w:pStyle w:val="P1"/>
        <w:spacing w:lineRule="exact" w:line="590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市水行政主管部门应当会同市发展和改革、环境保护、城乡规划、农业、林业等部门，根据市水生态保护与修复规划，组织编制市水生态监测规划，报市人民政府批准。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市和区、县（市）水行政主管部门应当根据市水生态监测规划，组织设立水生态监测站点。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水生态情势发生变化，需要调整水生态监测站点的，由市和区、县（市）水行政主管部门提出调整建议，报市人民政府批准。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禁止擅自移动、撤销水生态监测站点或者改变水生态监测站点的用途。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设立水生态监测站点应当具备下列条件：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（一）具有专用水生态监测站房及附属设施；</w:t>
      </w:r>
      <w:r>
        <w:rPr>
          <w:rStyle w:val="C3"/>
          <w:rFonts w:ascii="仿宋_GB2312" w:hAnsi="仿宋_GB2312"/>
          <w:sz w:val="32"/>
        </w:rPr>
        <w:t xml:space="preserve"> 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（二）具有采样和分析仪器、通信传输设备；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（三）具有从事水生态监测的专业技术人员；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（四）法律、法规规定的其他条件。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市和区、县（市）水行政主管部门应当根据水生态监测规划，在需要进行监测的水库、江河、湖泊等水域</w:t>
      </w:r>
      <w:r>
        <w:rPr>
          <w:rStyle w:val="C3"/>
          <w:rFonts w:ascii="仿宋_GB2312" w:hAnsi="仿宋_GB2312"/>
          <w:sz w:val="32"/>
        </w:rPr>
        <w:t>,</w:t>
      </w:r>
      <w:r>
        <w:rPr>
          <w:rStyle w:val="C3"/>
          <w:rFonts w:ascii="Microsoft YaHei UI" w:hAnsi="Microsoft YaHei UI"/>
          <w:sz w:val="32"/>
        </w:rPr>
        <w:t>组织设立监测断面。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新建、改建、扩建水利水电工程，根据水生态系统保护与修复规划需要进行水生态监测的，应当配套建设监测系统，所需经费纳入工程建设预算，并与主体工程同时验收，同时投入使用。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jc w:val="center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 xml:space="preserve">第三章  监测与评价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水生态监测包括以下内容：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（一）水位、流速、泥沙含量等水文监测；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（二）鱼类、底栖动物、浮游生物、水生植物等水生生物监测；</w:t>
      </w:r>
      <w:r>
        <w:rPr>
          <w:rStyle w:val="C3"/>
          <w:rFonts w:ascii="仿宋_GB2312" w:hAnsi="仿宋_GB2312"/>
          <w:sz w:val="32"/>
        </w:rPr>
        <w:t xml:space="preserve"> 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（三）水体理化指标的水质监测。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从事水生态监测活动的单位和人员，应当执行国家或者行业技术标准和规范，保证监测质量。未经市或者区、县（市）水行政主管部门同意，不得终止水生态监测或者改变水生态监测内容。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从事水生态监测活动的单位和人员，应当按照规定及时、准确地报送水生态监测资料，不得漏报、迟报、瞒报、虚报。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  <w:u w:val="single"/>
        </w:rPr>
      </w:pPr>
      <w:r>
        <w:rPr>
          <w:rStyle w:val="C3"/>
          <w:rFonts w:ascii="黑体" w:hAnsi="黑体"/>
          <w:sz w:val="32"/>
        </w:rPr>
        <w:t>第十五条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从事水生态监测活动的单位和人员发现水生态异常的，应当立即向所在地水行政主管部门报告。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市水行政主管部门应当按照水生态系统的特性和保护要求，建立水生态监测和评价指标体系。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市和区、县（市）水行政主管部门应当根据水生态监测和评价指标体系，编制年度水生态评价报告。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年度水生态评价报告应当包括水生态基础资料的收集、整理和分析，水生态质量评价，水生态系统保护和修复建议，水资源的开发利用等内容。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市人民政府应当根据年度水生态评价报告，对市水生态系统保护与修复规划进行调整，解决影响水生态系统保护与修复的相关问题。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市和区、县（市）人民政府应当根据年度水生态评价报告调整水功能区，科学配置水资源，保障生活和生产用水安全。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市、县（市）水行政主管部门应当按照职责权限，依法向社会发布水生态监测信息和评价报告。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其他单位或者个人不得向社会发布水生态监测信息和评价报告。</w:t>
      </w:r>
    </w:p>
    <w:p>
      <w:pPr>
        <w:pStyle w:val="P1"/>
        <w:widowControl w:val="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市水生态监测机构应当建立水生态监测数据库，存储和保管水生态监测资料。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jc w:val="center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第四章  设施设备与监测范围保护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市和区、县（市）水行政主管部门应当加强对水生态监测设施设备的保护和管理。水生态监测设施设备损坏的，应当及时组织修复。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禁止侵占、毁坏或者擅自移动、使用水生态监测设施设备。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市水行政主管部门应当按照国家有关规定</w:t>
      </w:r>
      <w:r>
        <w:rPr>
          <w:rStyle w:val="C3"/>
          <w:rFonts w:ascii="仿宋_GB2312" w:hAnsi="仿宋_GB2312"/>
          <w:sz w:val="32"/>
        </w:rPr>
        <w:t>,</w:t>
      </w:r>
      <w:r>
        <w:rPr>
          <w:rStyle w:val="C3"/>
          <w:rFonts w:ascii="Microsoft YaHei UI" w:hAnsi="Microsoft YaHei UI"/>
          <w:sz w:val="32"/>
        </w:rPr>
        <w:t>划定水生态监测环境保护范围，报市人民政府批准后实施，并在保护范围边界设立地面标志。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在水生态监测环境保护范围内禁止从事下列活动：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（一）种植高秆作物、修建建筑物、停靠船只；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（二）堆放物料、倾倒废弃物；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（三）取土、挖砂、采石、探矿、淘金或者进行爆破作业；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（四）取水、排污；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（五）在监测断面、过河设备上空架设高压线路；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（六）设置阻水障碍物；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（七）放养家禽或者家畜；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（八）其他对水生态监测和信息采集有影响的活动。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在水生态监测站点上下游修建影响水生态监测的工程，应当征得市或者区、县（市）水行政主管部门同意。因工程建设致使水生态监测站点改建的，所需费用由建设单位承担。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jc w:val="center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 xml:space="preserve">第五章  法律责任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区、县（市）水行政主管部门及其工作人员有下列情形之一的，由本级人民政府、上级水行政主管部门或者监察机关依据职责权限，责令改正，通报批评；对直接负责的主管人员和其他直接责任人依法给予行政处分：</w:t>
      </w:r>
      <w:r>
        <w:rPr>
          <w:rStyle w:val="C3"/>
          <w:rFonts w:ascii="仿宋_GB2312" w:hAnsi="仿宋_GB2312"/>
        </w:rPr>
        <w:br w:type="textWrapping"/>
      </w:r>
      <w:r>
        <w:rPr>
          <w:rStyle w:val="C3"/>
          <w:rFonts w:ascii="仿宋_GB2312" w:hAnsi="仿宋_GB2312"/>
          <w:sz w:val="32"/>
        </w:rPr>
        <w:t xml:space="preserve">      </w:t>
      </w:r>
      <w:r>
        <w:rPr>
          <w:rStyle w:val="C3"/>
          <w:rFonts w:ascii="Microsoft YaHei UI" w:hAnsi="Microsoft YaHei UI"/>
          <w:sz w:val="32"/>
        </w:rPr>
        <w:t>（一）擅自移动、撤销水生态监测站点或者改变水生态监测站点用途的；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（二）未按照规定发布水生态监测信息的；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（三）未按照规定编制年度水生态评价报告的；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（四）漏报、迟报、瞒报、虚报水生态监测资料的；</w:t>
      </w:r>
      <w:r>
        <w:rPr>
          <w:rStyle w:val="C3"/>
          <w:rFonts w:ascii="仿宋_GB2312" w:hAnsi="仿宋_GB2312"/>
          <w:sz w:val="32"/>
        </w:rPr>
        <w:t xml:space="preserve">      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（五）丢失、毁坏水生态监测资料的；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（六）不依法履行职责的其他行为。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规定，新建、改建、扩建水利水电工程需要建设而未配套建设水生态监测系统，或者配套建设的水生态监测系统未与主体工程同时验收、同时投入使用的，由市或者区、县（市）水行政主管部门责令限期采取补救措施，处五千元以上二万元以下罚款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第二十九条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违反本条例规定，侵占或者毁坏水生态监测设施设备的，由市或者区、县（市）水行政主管部门责令停止违法行为，限期恢复原状或者采取其他补救措施，并可以处一万元以上五万元以下罚款。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违反本条例规定，在水生态监测环境保护范围内有下列行为之一的，由市或者区、县（市）水行政主管部门责令停止违法行为，限期恢复原状或者采取其他补救措施，并可以按照下列规定处罚：</w:t>
      </w:r>
      <w:r>
        <w:rPr>
          <w:rStyle w:val="C3"/>
          <w:rFonts w:ascii="仿宋_GB2312" w:hAnsi="仿宋_GB2312"/>
          <w:sz w:val="32"/>
        </w:rPr>
        <w:t xml:space="preserve"> 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  <w:u w:val="single"/>
        </w:rPr>
      </w:pPr>
      <w:r>
        <w:rPr>
          <w:rStyle w:val="C3"/>
          <w:rFonts w:ascii="Microsoft YaHei UI" w:hAnsi="Microsoft YaHei UI"/>
          <w:sz w:val="32"/>
        </w:rPr>
        <w:t>（一）种植高秆作物的，处一千元以上二千元以下罚款；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（二）修建建筑物、堆放废弃物料的，处二千元以上五千元以下罚款；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（三）取土、挖砂、采石、探矿、淘金、进行爆破作业的，处一万元以下罚款；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（四）取水、排污或者在监测断面、过河设备上空架设高压线路的，处一千元以上五千元以下罚款。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违反本条例规定，在水生态监测环境保护范围内有下列行为之一的，由市水生态监测机构责令停止违法行为，限期恢复原状，并可以按照下列规定处罚：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（一）停靠船只、设置阻水障碍物的，处一千元以上二千元以下罚款；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（二）放养家禽或者家畜的，处五百元以上一千元以下罚款；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（三）擅自移动或者使用水生态监测设施设备的，处一千元以上五千元以下罚款。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0"/>
        <w:jc w:val="center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第六章  附则</w:t>
      </w:r>
    </w:p>
    <w:p>
      <w:pPr>
        <w:pStyle w:val="P1"/>
        <w:spacing w:lineRule="exact" w:line="590"/>
        <w:ind w:firstLine="640"/>
        <w:rPr>
          <w:rStyle w:val="C3"/>
          <w:rFonts w:ascii="黑体" w:hAnsi="黑体"/>
          <w:sz w:val="32"/>
        </w:rPr>
      </w:pP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第三十二条  </w:t>
      </w:r>
      <w:r>
        <w:rPr>
          <w:rStyle w:val="C3"/>
          <w:rFonts w:ascii="Microsoft YaHei UI" w:hAnsi="Microsoft YaHei UI"/>
          <w:sz w:val="32"/>
        </w:rPr>
        <w:t>水生态监测中所涉及的水文监测工作，按照国家和省的有关规定执行。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第三十三条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本条例自</w:t>
      </w:r>
      <w:r>
        <w:rPr>
          <w:rStyle w:val="C3"/>
          <w:rFonts w:ascii="仿宋_GB2312" w:hAnsi="仿宋_GB2312"/>
          <w:sz w:val="32"/>
        </w:rPr>
        <w:t>2012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1928" w:bottom="1814" w:header="851" w:footer="1531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16" w:y="1"/>
      <w:tabs>
        <w:tab w:val="center" w:pos="4153" w:leader="none"/>
        <w:tab w:val="right" w:pos="8306" w:leader="none"/>
      </w:tabs>
      <w:rPr>
        <w:rStyle w:val="C5"/>
        <w:rFonts w:ascii="Times New Roman" w:hAnsi="Times New Roman"/>
        <w:sz w:val="32"/>
      </w:rPr>
    </w:pPr>
    <w:r>
      <w:rPr>
        <w:rStyle w:val="C5"/>
        <w:rFonts w:ascii="Times New Roman" w:hAnsi="Times New Roman"/>
        <w:sz w:val="32"/>
      </w:rPr>
      <w:t xml:space="preserve">— </w:t>
    </w:r>
    <w:r>
      <w:rPr>
        <w:rStyle w:val="C5"/>
        <w:rFonts w:ascii="Times New Roman" w:hAnsi="Times New Roman"/>
        <w:sz w:val="32"/>
      </w:rPr>
      <w:fldChar w:fldCharType="begin"/>
    </w:r>
    <w:r>
      <w:rPr>
        <w:rStyle w:val="C5"/>
        <w:rFonts w:ascii="Times New Roman" w:hAnsi="Times New Roman"/>
        <w:sz w:val="32"/>
      </w:rPr>
      <w:instrText xml:space="preserve">PAGE  </w:instrText>
    </w:r>
    <w:r>
      <w:rPr>
        <w:rStyle w:val="C5"/>
        <w:rFonts w:ascii="Times New Roman" w:hAnsi="Times New Roman"/>
        <w:sz w:val="32"/>
      </w:rPr>
      <w:fldChar w:fldCharType="separate"/>
    </w:r>
    <w:r>
      <w:rPr>
        <w:rStyle w:val="C5"/>
        <w:rFonts w:ascii="Times New Roman" w:hAnsi="Times New Roman"/>
        <w:sz w:val="32"/>
      </w:rPr>
      <w:t>#</w:t>
    </w:r>
    <w:r>
      <w:rPr>
        <w:rStyle w:val="C5"/>
        <w:rFonts w:ascii="Times New Roman" w:hAnsi="Times New Roman"/>
        <w:sz w:val="32"/>
      </w:rPr>
      <w:fldChar w:fldCharType="end"/>
    </w:r>
    <w:r>
      <w:rPr>
        <w:rStyle w:val="C5"/>
        <w:rFonts w:ascii="Times New Roman" w:hAnsi="Times New Roman"/>
        <w:sz w:val="32"/>
      </w:rPr>
      <w:t xml:space="preserve"> —</w:t>
    </w:r>
  </w:p>
  <w:p>
    <w:pPr>
      <w:pStyle w:val="P2"/>
      <w:tabs>
        <w:tab w:val="center" w:pos="4153" w:leader="none"/>
        <w:tab w:val="right" w:pos="8306" w:leader="none"/>
      </w:tabs>
      <w:ind w:firstLine="360" w:right="360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16" w:y="1"/>
      <w:tabs>
        <w:tab w:val="center" w:pos="4153" w:leader="none"/>
        <w:tab w:val="right" w:pos="8306" w:leader="none"/>
      </w:tabs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ind w:firstLine="360" w:right="360"/>
      <w:rPr>
        <w:rStyle w:val="C5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脚"/>
    <w:basedOn w:val="P1"/>
    <w:next w:val="P2"/>
    <w:link w:val="C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3">
    <w:name w:val="批注框文本"/>
    <w:basedOn w:val="P1"/>
    <w:next w:val="P3"/>
    <w:link w:val="C7"/>
    <w:pPr/>
    <w:rPr>
      <w:sz w:val="18"/>
    </w:rPr>
  </w:style>
  <w:style w:type="paragraph" w:styleId="P4">
    <w:name w:val="页眉"/>
    <w:basedOn w:val="P1"/>
    <w:next w:val="P4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5">
    <w:name w:val="列出段落"/>
    <w:basedOn w:val="P1"/>
    <w:next w:val="P5"/>
    <w:qFormat/>
    <w:pPr>
      <w:ind w:firstLine="4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 Char Char2"/>
    <w:basedOn w:val="C3"/>
    <w:link w:val="P4"/>
    <w:rPr>
      <w:sz w:val="18"/>
    </w:rPr>
  </w:style>
  <w:style w:type="character" w:styleId="C5">
    <w:name w:val="页码"/>
    <w:basedOn w:val="C3"/>
    <w:rPr/>
  </w:style>
  <w:style w:type="character" w:styleId="C6">
    <w:name w:val=" Char Char1"/>
    <w:basedOn w:val="C3"/>
    <w:link w:val="P2"/>
    <w:rPr>
      <w:sz w:val="18"/>
    </w:rPr>
  </w:style>
  <w:style w:type="character" w:styleId="C7">
    <w:name w:val=" Char Char"/>
    <w:basedOn w:val="C3"/>
    <w:link w:val="P3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admin1</dc:creator>
  <dcterms:created xsi:type="dcterms:W3CDTF">2011-11-28T06:13:00Z</dcterms:created>
  <cp:lastModifiedBy>f1TZOF\f1TZOF-</cp:lastModifiedBy>
  <cp:lastPrinted>2011-12-09T09:23:00Z</cp:lastPrinted>
  <dcterms:modified xsi:type="dcterms:W3CDTF">2024-08-28T01:34:24Z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2052-10.1.0.5457</vt:lpwstr>
  </property>
</Properties>
</file>