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8C1908" Type="http://schemas.openxmlformats.org/officeDocument/2006/relationships/officeDocument" Target="/word/document.xml" /><Relationship Id="coreR228C1908" Type="http://schemas.openxmlformats.org/package/2006/relationships/metadata/core-properties" Target="/docProps/core.xml" /><Relationship Id="customR228C19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shd w:val="clear" w:fill="FFFFFF"/>
        <w:spacing w:lineRule="auto" w:line="240" w:before="0" w:after="0" w:beforeAutospacing="0" w:afterAutospacing="0"/>
        <w:ind w:left="0" w:right="0"/>
        <w:jc w:val="center"/>
        <w:rPr>
          <w:rStyle w:val="C3"/>
          <w:rFonts w:ascii="宋体" w:hAnsi="宋体"/>
          <w:color w:val="000000"/>
          <w:sz w:val="32"/>
          <w:shd w:val="clear" w:color="auto" w:fill="FFFFFF"/>
        </w:rPr>
      </w:pPr>
    </w:p>
    <w:p>
      <w:pPr>
        <w:pStyle w:val="P6"/>
        <w:keepNext w:val="0"/>
        <w:keepLines w:val="0"/>
        <w:widowControl w:val="0"/>
        <w:shd w:val="clear" w:fill="FFFFFF"/>
        <w:spacing w:lineRule="auto" w:line="240" w:before="0" w:after="0" w:beforeAutospacing="0" w:afterAutospacing="0"/>
        <w:ind w:left="0" w:right="0"/>
        <w:jc w:val="center"/>
        <w:rPr>
          <w:rStyle w:val="C3"/>
          <w:rFonts w:ascii="宋体" w:hAnsi="宋体"/>
          <w:color w:val="000000"/>
          <w:sz w:val="32"/>
          <w:shd w:val="clear" w:color="auto" w:fill="FFFFFF"/>
        </w:rPr>
      </w:pPr>
    </w:p>
    <w:p>
      <w:pPr>
        <w:pStyle w:val="P6"/>
        <w:keepNext w:val="0"/>
        <w:keepLines w:val="0"/>
        <w:widowControl w:val="0"/>
        <w:shd w:val="clear" w:fill="FFFFFF"/>
        <w:spacing w:lineRule="auto" w:line="240" w:before="0" w:after="0" w:beforeAutospacing="0" w:afterAutospacing="0"/>
        <w:ind w:left="0" w:right="0"/>
        <w:jc w:val="center"/>
        <w:rPr>
          <w:rStyle w:val="C3"/>
          <w:rFonts w:ascii="宋体" w:hAnsi="宋体"/>
          <w:color w:val="000000"/>
          <w:sz w:val="44"/>
          <w:shd w:val="clear" w:color="auto" w:fill="FFFFFF"/>
        </w:rPr>
      </w:pPr>
      <w:r>
        <w:rPr>
          <w:rStyle w:val="C3"/>
          <w:rFonts w:ascii="宋体" w:hAnsi="宋体"/>
          <w:color w:val="000000"/>
          <w:sz w:val="44"/>
          <w:shd w:val="clear" w:color="auto" w:fill="FFFFFF"/>
        </w:rPr>
        <w:t>西宁市南北山绿化管理条例</w:t>
      </w:r>
    </w:p>
    <w:p>
      <w:pPr>
        <w:pStyle w:val="P6"/>
        <w:keepNext w:val="0"/>
        <w:keepLines w:val="0"/>
        <w:widowControl w:val="0"/>
        <w:shd w:val="clear" w:fill="FFFFFF"/>
        <w:spacing w:lineRule="auto" w:line="240" w:before="0" w:after="0" w:beforeAutospacing="0" w:afterAutospacing="0"/>
        <w:ind w:left="0" w:right="0"/>
        <w:jc w:val="center"/>
        <w:rPr>
          <w:rStyle w:val="C3"/>
          <w:rFonts w:ascii="宋体" w:hAnsi="宋体"/>
          <w:color w:val="000000"/>
          <w:sz w:val="32"/>
          <w:shd w:val="clear" w:color="auto" w:fill="FFFFFF"/>
        </w:rPr>
      </w:pPr>
    </w:p>
    <w:p>
      <w:pPr>
        <w:pStyle w:val="P6"/>
        <w:keepNext w:val="0"/>
        <w:keepLines w:val="0"/>
        <w:widowControl w:val="0"/>
        <w:shd w:val="clear" w:fill="FFFFFF"/>
        <w:spacing w:lineRule="auto" w:line="240" w:before="0" w:after="0" w:beforeAutospacing="0" w:afterAutospacing="0"/>
        <w:ind w:left="624" w:right="624"/>
        <w:jc w:val="both"/>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2014</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6</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25</w:t>
      </w:r>
      <w:r>
        <w:rPr>
          <w:rStyle w:val="C3"/>
          <w:rFonts w:ascii="Microsoft YaHei UI" w:hAnsi="Microsoft YaHei UI"/>
          <w:color w:val="000000"/>
          <w:sz w:val="32"/>
          <w:shd w:val="clear" w:color="auto" w:fill="FFFFFF"/>
        </w:rPr>
        <w:t>日西宁市第十五届人民代表大会常务委员会第十九次会议通过</w:t>
      </w:r>
      <w:r>
        <w:rPr>
          <w:rStyle w:val="C3"/>
          <w:rFonts w:ascii="楷体_GB2312" w:hAnsi="楷体_GB2312"/>
          <w:color w:val="000000"/>
          <w:sz w:val="32"/>
          <w:shd w:val="clear" w:color="auto" w:fill="FFFFFF"/>
        </w:rPr>
        <w:t xml:space="preserve">  2014</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9</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26</w:t>
      </w:r>
      <w:r>
        <w:rPr>
          <w:rStyle w:val="C3"/>
          <w:rFonts w:ascii="Microsoft YaHei UI" w:hAnsi="Microsoft YaHei UI"/>
          <w:color w:val="000000"/>
          <w:sz w:val="32"/>
          <w:shd w:val="clear" w:color="auto" w:fill="FFFFFF"/>
        </w:rPr>
        <w:t>日青海省第十二届人民代表大会常务委员会第十三次会议批准</w:t>
      </w:r>
      <w:r>
        <w:rPr>
          <w:rStyle w:val="C3"/>
          <w:rFonts w:ascii="楷体_GB2312" w:hAnsi="楷体_GB2312"/>
          <w:color w:val="000000"/>
          <w:sz w:val="32"/>
          <w:shd w:val="clear" w:color="auto" w:fill="FFFFFF"/>
        </w:rPr>
        <w:t xml:space="preserve">  </w:t>
      </w:r>
      <w:r>
        <w:rPr>
          <w:rStyle w:val="C3"/>
          <w:rFonts w:ascii="Microsoft YaHei UI" w:hAnsi="Microsoft YaHei UI"/>
          <w:sz w:val="32"/>
          <w:shd w:val="clear" w:color="auto" w:fill="FFFFFF"/>
        </w:rPr>
        <w:t>根据</w:t>
      </w:r>
      <w:r>
        <w:rPr>
          <w:rStyle w:val="C3"/>
          <w:rFonts w:ascii="楷体_GB2312" w:hAnsi="楷体_GB2312"/>
          <w:sz w:val="32"/>
          <w:shd w:val="clear" w:color="auto" w:fill="FFFFFF"/>
        </w:rPr>
        <w:t>2020</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30</w:t>
      </w:r>
      <w:r>
        <w:rPr>
          <w:rStyle w:val="C3"/>
          <w:rFonts w:ascii="Microsoft YaHei UI" w:hAnsi="Microsoft YaHei UI"/>
          <w:sz w:val="32"/>
          <w:shd w:val="clear" w:color="auto" w:fill="FFFFFF"/>
        </w:rPr>
        <w:t>日西宁市第十六届人民代表大会常务委员会第三十二次会议通过并经</w:t>
      </w:r>
      <w:r>
        <w:rPr>
          <w:rStyle w:val="C3"/>
          <w:rFonts w:ascii="楷体_GB2312" w:hAnsi="楷体_GB2312"/>
          <w:sz w:val="32"/>
          <w:shd w:val="clear" w:color="auto" w:fill="FFFFFF"/>
        </w:rPr>
        <w:t>2021</w:t>
      </w:r>
      <w:r>
        <w:rPr>
          <w:rStyle w:val="C3"/>
          <w:rFonts w:ascii="Microsoft YaHei UI" w:hAnsi="Microsoft YaHei UI"/>
          <w:sz w:val="32"/>
          <w:shd w:val="clear" w:color="auto" w:fill="FFFFFF"/>
        </w:rPr>
        <w:t>年</w:t>
      </w:r>
      <w:r>
        <w:rPr>
          <w:rStyle w:val="C3"/>
          <w:rFonts w:ascii="楷体_GB2312" w:hAnsi="楷体_GB2312"/>
          <w:sz w:val="32"/>
          <w:shd w:val="clear" w:color="auto" w:fill="FFFFFF"/>
        </w:rPr>
        <w:t>3</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31</w:t>
      </w:r>
      <w:r>
        <w:rPr>
          <w:rStyle w:val="C3"/>
          <w:rFonts w:ascii="Microsoft YaHei UI" w:hAnsi="Microsoft YaHei UI"/>
          <w:sz w:val="32"/>
          <w:shd w:val="clear" w:color="auto" w:fill="FFFFFF"/>
        </w:rPr>
        <w:t>日青海省第十三届人民代表大会常务委员会第二十四次会议批准的《西宁市人民代表大会常务委员会关于废止和修改部分地方性法规的决定》的决议修正</w:t>
      </w:r>
      <w:r>
        <w:rPr>
          <w:rStyle w:val="C3"/>
          <w:rFonts w:ascii="Microsoft YaHei UI" w:hAnsi="Microsoft YaHei UI"/>
          <w:color w:val="000000"/>
          <w:sz w:val="32"/>
          <w:shd w:val="clear" w:color="auto" w:fill="FFFFFF"/>
        </w:rPr>
        <w:t>）</w:t>
      </w:r>
    </w:p>
    <w:p>
      <w:pPr>
        <w:pStyle w:val="P6"/>
        <w:keepNext w:val="0"/>
        <w:keepLines w:val="0"/>
        <w:widowControl w:val="0"/>
        <w:shd w:val="clear" w:fill="FFFFFF"/>
        <w:spacing w:lineRule="auto" w:line="240" w:before="0" w:after="0" w:beforeAutospacing="0" w:afterAutospacing="0"/>
        <w:ind w:left="624" w:right="624"/>
        <w:jc w:val="both"/>
        <w:rPr>
          <w:rStyle w:val="C3"/>
          <w:rFonts w:ascii="宋体" w:hAnsi="宋体"/>
          <w:color w:val="000000"/>
          <w:sz w:val="32"/>
          <w:shd w:val="clear" w:color="auto" w:fill="FFFFFF"/>
        </w:rPr>
      </w:pPr>
    </w:p>
    <w:p>
      <w:pPr>
        <w:pStyle w:val="P9"/>
        <w:keepNext w:val="0"/>
        <w:keepLines w:val="0"/>
        <w:widowControl w:val="0"/>
        <w:spacing w:lineRule="auto" w:line="240" w:before="0" w:after="0" w:beforeAutospacing="0" w:afterAutospacing="0"/>
        <w:jc w:val="center"/>
        <w:rPr>
          <w:rStyle w:val="C3"/>
          <w:rFonts w:ascii="仿宋_GB2312" w:hAnsi="仿宋_GB2312"/>
          <w:sz w:val="32"/>
        </w:rPr>
      </w:pPr>
      <w:r>
        <w:rPr>
          <w:rStyle w:val="C3"/>
          <w:rFonts w:ascii="黑体" w:hAnsi="黑体"/>
          <w:sz w:val="32"/>
        </w:rPr>
        <w:t xml:space="preserve">第一章  总则</w:t>
      </w:r>
    </w:p>
    <w:p>
      <w:pPr>
        <w:pStyle w:val="P9"/>
        <w:keepNext w:val="0"/>
        <w:keepLines w:val="0"/>
        <w:widowControl w:val="0"/>
        <w:spacing w:lineRule="auto" w:line="240" w:before="0" w:after="0" w:beforeAutospacing="0" w:afterAutospacing="0"/>
        <w:jc w:val="center"/>
        <w:rPr>
          <w:rStyle w:val="C3"/>
          <w:rFonts w:ascii="宋体" w:hAnsi="宋体"/>
          <w:sz w:val="32"/>
        </w:rPr>
      </w:pP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为了巩固西宁南北山绿化成果，促进南北山绿化可持续发展，改善生态环境，根据《中华人民共和国森林法》等有关法律、法规，结合本市实际，制定本条例。</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本条例适用于南北山绿化的规划、建设、保护及其管理。</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南北山绿化的规划区域，由市人民政府确定，并向社会公布。</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南北山绿化工作应当遵循生态优先、政府主导、市场参与、统一规划、建管并重的原则。</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市、区（县）人民政府应当将南北山绿化作为生态文明建设的重要组成部分，纳入国民经济和社会发展规划。</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市、区（县）人民政府应当将南北山绿化建设和管护资金纳入年度财政预算。南北山绿化建设和管护资金来源主要包括国家、省人民政府及其有关部门和市、区（县）人民政府拨付的专项资金，社会投资、捐赠款和其他资金。</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南北山绿化主管部门主管全市南北山绿化和综合开发工作，研究决定南北山绿化工作的重大事项，履行下列职责：</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（一）组织、指导、协调和考核南北山绿化管理工作，督导南北山绿化规划的实施；</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（二）划定绿化承包责任区，确定承包方，签订目标责任书，分解下达绿化任务；</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三）对承包方提供技术指导、培训和咨询等服务，对承包方的绿化工作进行检查和考核，审核承包方的基本建设、景区景点建设、生态旅游开发和多种经营项目，协调督促有关部门办理林权和土地确权的颁证工作；</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（四）筹措造林工程及管护资金，协调实施供水、供电、灌溉、道路、通讯等绿化基础设施建设项目。</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区（县）人民政府应当按照职责分工负责本行政区域内南北山绿化建设及其管理工作。</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林草、发展改革、城乡建设、自然资源规划、生态环境、水务、民政、公安、应急等主管部门和相关公共服务企业应当依照有关法律、法规的规定，在各自的职责范围内做好南北山绿化工作。</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凡在西宁市的单位和个人都有绿化南北山的义务。任何单位和个人有权制止、投诉和举报损害南北山绿化、破坏生态环境的行为。</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对南北山绿化建设和管理中做出突出成绩的单位和个人，由人民政府予以表彰奖励。</w:t>
      </w:r>
    </w:p>
    <w:p>
      <w:pPr>
        <w:pStyle w:val="P9"/>
        <w:keepNext w:val="0"/>
        <w:keepLines w:val="0"/>
        <w:widowControl w:val="0"/>
        <w:spacing w:lineRule="auto" w:line="240" w:before="0" w:after="0" w:beforeAutospacing="0" w:afterAutospacing="0"/>
        <w:ind w:firstLine="636" w:left="0"/>
        <w:rPr>
          <w:rStyle w:val="C3"/>
          <w:rFonts w:ascii="宋体" w:hAnsi="宋体"/>
          <w:sz w:val="32"/>
        </w:rPr>
      </w:pPr>
      <w:r>
        <w:rPr>
          <w:rStyle w:val="C3"/>
          <w:rFonts w:ascii="宋体" w:hAnsi="宋体"/>
          <w:sz w:val="32"/>
        </w:rPr>
        <w:t xml:space="preserve">  </w:t>
      </w:r>
    </w:p>
    <w:p>
      <w:pPr>
        <w:pStyle w:val="P9"/>
        <w:keepNext w:val="0"/>
        <w:keepLines w:val="0"/>
        <w:widowControl w:val="0"/>
        <w:spacing w:lineRule="auto" w:line="240" w:before="0" w:after="0" w:beforeAutospacing="0" w:afterAutospacing="0"/>
        <w:jc w:val="center"/>
        <w:rPr>
          <w:rStyle w:val="C3"/>
          <w:rFonts w:ascii="黑体" w:hAnsi="黑体"/>
          <w:sz w:val="32"/>
        </w:rPr>
      </w:pPr>
      <w:r>
        <w:rPr>
          <w:rStyle w:val="C3"/>
          <w:rFonts w:ascii="黑体" w:hAnsi="黑体"/>
          <w:sz w:val="32"/>
        </w:rPr>
        <w:t xml:space="preserve">第二章  规划和建设</w:t>
      </w:r>
    </w:p>
    <w:p>
      <w:pPr>
        <w:pStyle w:val="P9"/>
        <w:keepNext w:val="0"/>
        <w:keepLines w:val="0"/>
        <w:widowControl w:val="0"/>
        <w:spacing w:lineRule="auto" w:line="240" w:before="0" w:after="0" w:beforeAutospacing="0" w:afterAutospacing="0"/>
        <w:jc w:val="center"/>
        <w:rPr>
          <w:rStyle w:val="C3"/>
          <w:rFonts w:ascii="宋体" w:hAnsi="宋体"/>
          <w:sz w:val="32"/>
        </w:rPr>
      </w:pPr>
    </w:p>
    <w:p>
      <w:pPr>
        <w:pStyle w:val="P9"/>
        <w:keepNext w:val="0"/>
        <w:keepLines w:val="0"/>
        <w:widowControl w:val="0"/>
        <w:spacing w:lineRule="auto" w:line="240"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南北山绿化总体规划由市林草主管部门会同发展改革、自然资源规划等主管部门和区（县）人民政府编制，按规定程序报请批准后实施。</w:t>
      </w:r>
    </w:p>
    <w:p>
      <w:pPr>
        <w:pStyle w:val="P9"/>
        <w:keepNext w:val="0"/>
        <w:keepLines w:val="0"/>
        <w:widowControl w:val="0"/>
        <w:spacing w:lineRule="auto" w:line="240"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确需对规划进行修改的，应当按照规定程序报请批准。</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严格控制在南北山绿化规划区域内占用绿化用地的建设项目，确需占用绿化用地的建设项目，应当征求南北山绿化主管部门意见后，由林草、自然资源规划等主管部门按程序办理相关审批手续。</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南北山绿化规划区域内的土地可以依法承包给承包方进行绿化，承包方应当履行下列义务：</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（一）建立健全绿化组织机构，落实领导责任，确定专职现场负责人；</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（二）根据南北山绿化主管部门下达的绿化任务，制定具体实施方案，落实管护措施并组织实施，保质保量完成绿化任务；</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（三）做好林地灌溉和林木抚育管护工作，及时防治林业有害生物，保证林木成活率达到</w:t>
      </w:r>
      <w:r>
        <w:rPr>
          <w:rStyle w:val="C3"/>
          <w:rFonts w:ascii="仿宋_GB2312" w:hAnsi="仿宋_GB2312"/>
          <w:sz w:val="32"/>
        </w:rPr>
        <w:t>85%</w:t>
      </w:r>
      <w:r>
        <w:rPr>
          <w:rStyle w:val="C3"/>
          <w:rFonts w:ascii="Microsoft YaHei UI" w:hAnsi="Microsoft YaHei UI"/>
          <w:sz w:val="32"/>
        </w:rPr>
        <w:t>以上；</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（四）维修养护好水利、道路等基础设施，修建管护房、微小型配套灌溉设施和便道；</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（五）做好防火、防汛、抗旱及防盗工作，加强安全生产工作；</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（六）承包合同中约定的其他义务。</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南北山绿化规划区域内的国有土地，作为绿化用地，由市、区（县）人民政府负责组织绿化。</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南北山绿化规划区域内的集体土地、集体使用的国有土地或者集体所有的荒地、荒山，尚未承包或者绿化的，由所在区（县）人民政府组织当地乡（镇）人民政府和村民委员会绿化，也可以承包给其他单位和个人绿化。</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南北山绿化规划区域内的耕地，实行退耕还林，由所在区（县）人民政府组织乡（镇）人民政府和村民委员会绿化。</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林地所有权人应当与承包方签订绿化承包合同或者协议，明确双方的权利和义务。承包方应当按照承包合同或者协议约定进行造林绿化，连续两年未造林绿化的，林地所有权人可以依法解除承包合同或者协议，收回林地使用权，并让承包方限期清理地上附着物。</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在承包区内修建直接用于绿化生产服务的设施，建筑面积不得超过承包区面积的</w:t>
      </w:r>
      <w:r>
        <w:rPr>
          <w:rStyle w:val="C3"/>
          <w:rFonts w:ascii="仿宋_GB2312" w:hAnsi="仿宋_GB2312"/>
          <w:sz w:val="32"/>
        </w:rPr>
        <w:t>3%</w:t>
      </w:r>
      <w:r>
        <w:rPr>
          <w:rStyle w:val="C3"/>
          <w:rFonts w:ascii="Microsoft YaHei UI" w:hAnsi="Microsoft YaHei UI"/>
          <w:sz w:val="32"/>
        </w:rPr>
        <w:t>，符合国家有关部门规定标准的，由县级以上人民政府林草主管部门批准，不需要办理建设用地审批手续；超出标准需要占用林地的，应当依法办理建设用地审批手续。</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直接用于绿化生产服务的设施包括：</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（一）培育、生产种子、苗木的设施；</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（二）贮存种子、苗木、木材的设施；</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（三）集材道、运材道、防火巡护道、森林步道；</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（四）林业科研、科普教育设施；</w:t>
      </w:r>
    </w:p>
    <w:p>
      <w:pPr>
        <w:pStyle w:val="P9"/>
        <w:keepNext w:val="0"/>
        <w:keepLines w:val="0"/>
        <w:widowControl w:val="0"/>
        <w:spacing w:lineRule="auto" w:line="240"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（五）野生动植物保护、护林、林业有害生物防治、森林防火、木材检疫的设施；</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（六）供水、供电、供热、供气、通讯基础设施。</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（七）其他直接为林业生产服务的工程设施。</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南北山绿化规划区域内生态文化旅游开发建设项目的选址、布局，建（构）筑物的高度、体量、造型、风格和色调等，应当符合城市总体规划、土地利用总体规划，与南北山生态景观和环境相协调，并应符合下列规定：</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（一）依据南北山绿化总体规划，编制专项规划；</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（二）按规定完成承包区内的造林绿化任务；</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（三）承包区内的林木覆盖率不低于</w:t>
      </w:r>
      <w:r>
        <w:rPr>
          <w:rStyle w:val="C3"/>
          <w:rFonts w:ascii="仿宋_GB2312" w:hAnsi="仿宋_GB2312"/>
          <w:sz w:val="32"/>
        </w:rPr>
        <w:t>70</w:t>
      </w:r>
      <w:r>
        <w:rPr>
          <w:rStyle w:val="C3"/>
          <w:rFonts w:ascii="Microsoft YaHei UI" w:hAnsi="Microsoft YaHei UI"/>
          <w:sz w:val="32"/>
        </w:rPr>
        <w:t>％；</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（四）景区建设项目的建筑和设施，占地面积不得超过景区面积的</w:t>
      </w:r>
      <w:r>
        <w:rPr>
          <w:rStyle w:val="C3"/>
          <w:rFonts w:ascii="仿宋_GB2312" w:hAnsi="仿宋_GB2312"/>
          <w:sz w:val="32"/>
        </w:rPr>
        <w:t>10%</w:t>
      </w:r>
      <w:r>
        <w:rPr>
          <w:rStyle w:val="C3"/>
          <w:rFonts w:ascii="Microsoft YaHei UI" w:hAnsi="Microsoft YaHei UI"/>
          <w:sz w:val="32"/>
        </w:rPr>
        <w:t>。</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生态环境、城乡建设、水务、自然资源规划等主管部门在审批生态文化旅游开发建设项目前，应当征求南北山绿化主管部门的意见。</w:t>
      </w:r>
    </w:p>
    <w:p>
      <w:pPr>
        <w:pStyle w:val="P9"/>
        <w:keepNext w:val="0"/>
        <w:keepLines w:val="0"/>
        <w:widowControl w:val="0"/>
        <w:spacing w:lineRule="auto" w:line="240" w:before="0" w:after="0" w:beforeAutospacing="0" w:afterAutospacing="0"/>
        <w:ind w:firstLine="624" w:left="0"/>
        <w:rPr>
          <w:rStyle w:val="C3"/>
          <w:rFonts w:ascii="宋体" w:hAnsi="宋体"/>
          <w:sz w:val="32"/>
        </w:rPr>
      </w:pPr>
      <w:r>
        <w:rPr>
          <w:rStyle w:val="C3"/>
          <w:rFonts w:ascii="宋体" w:hAnsi="宋体"/>
          <w:sz w:val="32"/>
        </w:rPr>
        <w:t xml:space="preserve">  </w:t>
      </w:r>
    </w:p>
    <w:p>
      <w:pPr>
        <w:pStyle w:val="P9"/>
        <w:keepNext w:val="0"/>
        <w:keepLines w:val="0"/>
        <w:widowControl w:val="0"/>
        <w:spacing w:lineRule="auto" w:line="240" w:before="0" w:after="0" w:beforeAutospacing="0" w:afterAutospacing="0"/>
        <w:jc w:val="center"/>
        <w:rPr>
          <w:rStyle w:val="C3"/>
          <w:rFonts w:ascii="黑体" w:hAnsi="黑体"/>
          <w:sz w:val="32"/>
        </w:rPr>
      </w:pPr>
      <w:r>
        <w:rPr>
          <w:rStyle w:val="C3"/>
          <w:rFonts w:ascii="黑体" w:hAnsi="黑体"/>
          <w:sz w:val="32"/>
        </w:rPr>
        <w:t xml:space="preserve">第三章  权益保障</w:t>
      </w:r>
    </w:p>
    <w:p>
      <w:pPr>
        <w:pStyle w:val="P9"/>
        <w:keepNext w:val="0"/>
        <w:keepLines w:val="0"/>
        <w:widowControl w:val="0"/>
        <w:spacing w:lineRule="auto" w:line="240" w:before="0" w:after="0" w:beforeAutospacing="0" w:afterAutospacing="0"/>
        <w:ind w:firstLine="624" w:left="0"/>
        <w:rPr>
          <w:rStyle w:val="C3"/>
          <w:rFonts w:ascii="宋体" w:hAnsi="宋体"/>
          <w:sz w:val="32"/>
        </w:rPr>
      </w:pP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南北山绿化规划区域内的林木，按下列规定确定权属：</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（一）依法承包土地上营造的林木归该土地承包经营权人所有；</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（二）承包或者租赁林地、荒地、荒山上营造的林木，归承包方或者承租方所有，合同另有约定的，从其约定；</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（三）农户在已经划定的自留地和房前屋后栽植的林木，归该农户所有；</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（四）单位或者个人在其依法使用的土地上营造的林木，归该单位或者个人所有；</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（五）义务营造的林木，归土地使用权人所有；</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（六）单位与单位、单位与个人、个人与个人合作营造的林木，有协议约定的，从其约定；无协议的，归合作方共有。</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划拨或者承包给单位和个人的林地使用权，由所在区（县）人民政府登记机构发放林权证。</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承包方的国有土地使用权，按省自然资源规划主管部门的有关规定，应得到切实保障，区（县）自然资源规划主管部门协助承包方办理或者完善有关权属登记。承包方依法享有林地使用权、林木所有权以及经营权等其他合法权益。任何单位和个人不得侵占承包方依法所有的林木和使用的林地。</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承包方在规定期限完成造林绿化任务，承包区内林木覆盖率不低于</w:t>
      </w:r>
      <w:r>
        <w:rPr>
          <w:rStyle w:val="C3"/>
          <w:rFonts w:ascii="仿宋_GB2312" w:hAnsi="仿宋_GB2312"/>
          <w:sz w:val="32"/>
        </w:rPr>
        <w:t>70%</w:t>
      </w:r>
      <w:r>
        <w:rPr>
          <w:rStyle w:val="C3"/>
          <w:rFonts w:ascii="Microsoft YaHei UI" w:hAnsi="Microsoft YaHei UI"/>
          <w:sz w:val="32"/>
        </w:rPr>
        <w:t>的情况下，征求南北山绿化主管部门意见并经有关部门批准后，可以从事不破坏植被的种植业、养殖业、生态文化旅游服务等多种经营和兴办教学、科研试验示范基地。</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承包方用于南北山绿化的苗木，由南北山绿化主管部门纳入计划，按照因地制宜、适地适树的原则，依据国家有关政策规定予以调配或者给予适当补助。</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南北山绿化造林及管护的劳务费、苗木税率、绿化灌溉水电费，按有关优惠政策执行。</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经承包取得的林地使用权和林木所有权，在不改变林地用途的前提下，可依法继承、抵押、入股。</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Microsoft YaHei UI" w:hAnsi="Microsoft YaHei UI"/>
          <w:sz w:val="32"/>
        </w:rPr>
        <w:t>继承、抵押、入股林地使用权和林木所有权，不得包括国家投资建设的供水、供电、道路配套等基础设施。</w:t>
      </w:r>
    </w:p>
    <w:p>
      <w:pPr>
        <w:pStyle w:val="P9"/>
        <w:keepNext w:val="0"/>
        <w:keepLines w:val="0"/>
        <w:widowControl w:val="0"/>
        <w:spacing w:lineRule="auto" w:line="240" w:before="0" w:after="0" w:beforeAutospacing="0" w:afterAutospacing="0"/>
        <w:ind w:firstLine="636" w:lef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林地使用权和林木所有权可依法进行流转，承包方在流转时，应当征求南北山绿化主管部门意见后，由区（县）人民政府办理权属变更登记手续。在流转过程中不得乱砍滥伐、改变林地用途和公益林性质，不得造成国有和集体资产流失。</w:t>
      </w:r>
    </w:p>
    <w:p>
      <w:pPr>
        <w:pStyle w:val="P9"/>
        <w:keepNext w:val="0"/>
        <w:keepLines w:val="0"/>
        <w:widowControl w:val="0"/>
        <w:spacing w:lineRule="auto" w:line="240" w:before="0" w:after="0" w:beforeAutospacing="0" w:afterAutospacing="0"/>
        <w:ind w:firstLine="624" w:left="0"/>
        <w:rPr>
          <w:rStyle w:val="C3"/>
          <w:rFonts w:ascii="宋体" w:hAnsi="宋体"/>
          <w:sz w:val="32"/>
        </w:rPr>
      </w:pPr>
      <w:r>
        <w:rPr>
          <w:rStyle w:val="C3"/>
          <w:rFonts w:ascii="宋体" w:hAnsi="宋体"/>
          <w:sz w:val="32"/>
        </w:rPr>
        <w:t xml:space="preserve"> </w:t>
      </w:r>
    </w:p>
    <w:p>
      <w:pPr>
        <w:pStyle w:val="P9"/>
        <w:keepNext w:val="0"/>
        <w:keepLines w:val="0"/>
        <w:widowControl w:val="0"/>
        <w:spacing w:lineRule="auto" w:line="240" w:before="0" w:after="0" w:beforeAutospacing="0" w:afterAutospacing="0"/>
        <w:jc w:val="center"/>
        <w:rPr>
          <w:rStyle w:val="C3"/>
          <w:rFonts w:ascii="黑体" w:hAnsi="黑体"/>
          <w:sz w:val="32"/>
        </w:rPr>
      </w:pPr>
      <w:r>
        <w:rPr>
          <w:rStyle w:val="C3"/>
          <w:rFonts w:ascii="黑体" w:hAnsi="黑体"/>
          <w:sz w:val="32"/>
        </w:rPr>
        <w:t xml:space="preserve">第四章  保护管理</w:t>
      </w:r>
    </w:p>
    <w:p>
      <w:pPr>
        <w:pStyle w:val="P9"/>
        <w:keepNext w:val="0"/>
        <w:keepLines w:val="0"/>
        <w:widowControl w:val="0"/>
        <w:spacing w:lineRule="auto" w:line="240" w:before="0" w:after="0" w:beforeAutospacing="0" w:afterAutospacing="0"/>
        <w:ind w:firstLine="624" w:left="0"/>
        <w:rPr>
          <w:rStyle w:val="C3"/>
          <w:rFonts w:ascii="宋体" w:hAnsi="宋体"/>
          <w:sz w:val="32"/>
        </w:rPr>
      </w:pP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南北山绿化主管部门和市林草主管部门应当建立南北山林业有害生物疫情监测预报网络，编制灾害事件应急预案，健全林业有害生物预警预防控制体系。</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林草主管部门应当加强南北山绿化规划区域内的林木资源和野生动植物资源的保护，及时制止和查处侵占林地、破坏林木和绿化基础设施等违法行为。</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水务主管部门应当按照有关规定统筹安排绿化和农业用水，保障南北山绿化用水。</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水务和自然资源规划主管部门应当指导和协助承包方做好防汛抗旱工作和地质灾害预防工作。</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南北山绿化主管部门应当会同文物等主管部门依法保护南北山绿化规划区域内的自然、人文景观和文化遗产。南北山绿化规划区域内未列入文物保护的具有一定历史、科学、艺术价值的建（构）筑物、遗迹、遗址等不可移动文物，由区（县）文物主管部门予以登记并公布。</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南北山绿化主管部门应当会同有关部门制定南北山绿化规划区域内的安全管理制度，加强休闲游览安全管理，逐步完善服务设施。</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禁止在南北山绿化规划区域内从事下列行为：</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（一）擅自改变林地用途；</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（二）毁坏林木植被、砍伐树木、采挖植物；</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（三）放牧、打猎和擅自从事经营性的畜禽饲养活动；</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（四）擅自修建建（构）筑物和经营性场所；</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（五）排放污染物或者在非指定地点倾倒、堆放垃圾和废渣；</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（六）损毁绿化基础设施；</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（七）其他破坏绿化的行为。</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南北山绿化规划区域内严禁采矿、挖砂、取土和堆放渣土；确因国家和地方重点工程建设需要进行采矿、挖砂、取土和堆放渣土的，应当征求南北山绿化主管部门意见后，由相关部门办理审批手续；建设单位应当支付林地、林木及其他地上附着物的补偿费，并依法缴纳森林植被恢复费。</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南北山绿化规划区域内不得新建、改建、扩建影响景观、破坏生态、妨碍游览等与绿化无关的设施和工业项目，已建成但不符合规划要求的设施，应当改建或者拆除；已建成但不符合规划要求的工业企业，应当外迁或者关闭。</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南北山绿化规划区域内不得新建、改建或者扩建私墓，已有的坟墓，除受国家保护的具有历史、艺术、科学价值的墓地外，应当根据建设需要按照相关规定给予经济补偿后，限期迁移或者深埋。</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修建公益性生态墓地的，应当征求南北山绿化主管部门意见后，按照法定程序和权限审批。现有的公墓一律不得扩建。</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南北山绿化主管部门应当会同民政、消防救援机构在公墓区划定专门用火场地，设立专门用火设施。公墓经营单位应当履行绿化、防火责任，禁止在专门用火场地和设施外用火。</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在南北山绿化规划区域内严格控制火源，严禁野外用火、燃放烟花爆竹、擅自贮存易燃易爆物等不符合森林防火规定的行为。</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南北山绿化主管部门和区（县）人民政府应当组织承包方建立防火队伍，划定防火区域，落实防火责任。</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Microsoft YaHei UI" w:hAnsi="Microsoft YaHei UI"/>
          <w:sz w:val="32"/>
        </w:rPr>
        <w:t>承包方应当加强护林防火工作，制定防火灭火预案，建立健全防火制度，在承包区设置明显的防火标志和配备灭火器材并保持性能完好。</w:t>
      </w:r>
    </w:p>
    <w:p>
      <w:pPr>
        <w:pStyle w:val="P9"/>
        <w:keepNext w:val="0"/>
        <w:keepLines w:val="0"/>
        <w:widowControl w:val="0"/>
        <w:spacing w:lineRule="auto" w:line="240" w:before="0" w:after="0" w:beforeAutospacing="0" w:afterAutospacing="0"/>
        <w:ind w:firstLine="624" w:left="0"/>
        <w:rPr>
          <w:rStyle w:val="C3"/>
          <w:rFonts w:ascii="宋体" w:hAnsi="宋体"/>
          <w:sz w:val="32"/>
        </w:rPr>
      </w:pPr>
      <w:r>
        <w:rPr>
          <w:rStyle w:val="C3"/>
          <w:rFonts w:ascii="宋体" w:hAnsi="宋体"/>
          <w:sz w:val="32"/>
        </w:rPr>
        <w:t xml:space="preserve"> </w:t>
      </w:r>
    </w:p>
    <w:p>
      <w:pPr>
        <w:pStyle w:val="P9"/>
        <w:keepNext w:val="0"/>
        <w:keepLines w:val="0"/>
        <w:widowControl w:val="0"/>
        <w:spacing w:lineRule="auto" w:line="240"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9"/>
        <w:keepNext w:val="0"/>
        <w:keepLines w:val="0"/>
        <w:widowControl w:val="0"/>
        <w:spacing w:lineRule="auto" w:line="240" w:before="0" w:after="0" w:beforeAutospacing="0" w:afterAutospacing="0"/>
        <w:ind w:firstLine="624" w:left="0"/>
        <w:rPr>
          <w:rStyle w:val="C3"/>
          <w:rFonts w:ascii="宋体" w:hAnsi="宋体"/>
          <w:sz w:val="32"/>
        </w:rPr>
      </w:pP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违反本条例规定，绿化承包方未完成绿化造林任务，由林草主管部门责令限期完成；逾期未完成的，除按照合同规定追究违约责任外，可处以应完成而未完成造林任务所需费用两倍以下的罚款。</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违反本条例规定，损毁绿化基础设施的，由林草主管部门责令停止侵害，恢复原状，赔偿损失，并处一千元以上二万元以下罚款。</w:t>
      </w:r>
    </w:p>
    <w:p>
      <w:pPr>
        <w:pStyle w:val="P9"/>
        <w:keepNext w:val="0"/>
        <w:keepLines w:val="0"/>
        <w:widowControl w:val="0"/>
        <w:spacing w:lineRule="auto" w:line="240" w:before="0" w:after="0" w:beforeAutospacing="0" w:afterAutospacing="0"/>
        <w:ind w:firstLine="624" w:lef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南北山绿化的相关部门及其工作人员违反本条例规定，在南北山绿化建设保护管理工作中滥用职权、玩忽职守、徇私舞弊的，由有关部门依法给予处分；构成犯罪的，依法追究刑事责任。</w:t>
      </w:r>
    </w:p>
    <w:p>
      <w:pPr>
        <w:pStyle w:val="P9"/>
        <w:keepNext w:val="0"/>
        <w:keepLines w:val="0"/>
        <w:widowControl w:val="0"/>
        <w:spacing w:lineRule="auto" w:line="240" w:before="0" w:after="0" w:beforeAutospacing="0" w:afterAutospacing="0"/>
        <w:ind w:firstLine="624" w:left="0"/>
        <w:rPr>
          <w:rStyle w:val="C3"/>
          <w:rFonts w:ascii="宋体" w:hAnsi="宋体"/>
          <w:sz w:val="32"/>
        </w:rPr>
      </w:pPr>
      <w:r>
        <w:rPr>
          <w:rStyle w:val="C3"/>
          <w:rFonts w:ascii="宋体" w:hAnsi="宋体"/>
          <w:sz w:val="32"/>
        </w:rPr>
        <w:t xml:space="preserve"> </w:t>
      </w:r>
    </w:p>
    <w:p>
      <w:pPr>
        <w:pStyle w:val="P9"/>
        <w:keepNext w:val="0"/>
        <w:keepLines w:val="0"/>
        <w:widowControl w:val="0"/>
        <w:spacing w:lineRule="auto" w:line="240" w:before="0" w:after="0" w:beforeAutospacing="0" w:afterAutospacing="0"/>
        <w:jc w:val="center"/>
        <w:rPr>
          <w:rStyle w:val="C3"/>
          <w:rFonts w:ascii="仿宋_GB2312" w:hAnsi="仿宋_GB2312"/>
          <w:sz w:val="32"/>
        </w:rPr>
      </w:pPr>
      <w:r>
        <w:rPr>
          <w:rStyle w:val="C3"/>
          <w:rFonts w:ascii="黑体" w:hAnsi="黑体"/>
          <w:sz w:val="32"/>
        </w:rPr>
        <w:t xml:space="preserve">第六章  附则</w:t>
      </w:r>
    </w:p>
    <w:p>
      <w:pPr>
        <w:pStyle w:val="P9"/>
        <w:keepNext w:val="0"/>
        <w:keepLines w:val="0"/>
        <w:widowControl w:val="0"/>
        <w:spacing w:lineRule="auto" w:line="240" w:before="0" w:after="0" w:beforeAutospacing="0" w:afterAutospacing="0"/>
        <w:ind w:firstLine="624" w:left="0"/>
        <w:rPr>
          <w:rStyle w:val="C3"/>
          <w:rFonts w:ascii="宋体" w:hAnsi="宋体"/>
          <w:sz w:val="32"/>
        </w:rPr>
      </w:pP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2014</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auto"/>
          <w:sz w:val="32"/>
        </w:rPr>
        <w:t>1990</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29</w:t>
      </w:r>
      <w:r>
        <w:rPr>
          <w:rStyle w:val="C3"/>
          <w:rFonts w:ascii="Microsoft YaHei UI" w:hAnsi="Microsoft YaHei UI"/>
          <w:color w:val="auto"/>
          <w:sz w:val="32"/>
        </w:rPr>
        <w:t>日青海省第七届人民代表大会常务委员会第十八次会议批准的《西宁市南北两山绿化条例》同时废止。</w:t>
      </w:r>
    </w:p>
    <w:p>
      <w:pPr>
        <w:pStyle w:val="P1"/>
        <w:keepNext w:val="0"/>
        <w:keepLines w:val="0"/>
        <w:widowControl w:val="0"/>
        <w:spacing w:lineRule="auto" w:line="240" w:beforeAutospacing="0" w:afterAutospacing="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keepNext w:val="0"/>
      <w:keepLines w:val="0"/>
      <w:widowControl w:val="1"/>
      <w:suppressLineNumbers w:val="0"/>
      <w:spacing w:before="100" w:after="100" w:beforeAutospacing="1" w:afterAutospacing="1"/>
      <w:jc w:val="left"/>
    </w:pPr>
    <w:rPr>
      <w:rFonts w:ascii="宋体" w:hAnsi="宋体"/>
      <w:sz w:val="24"/>
    </w:rPr>
  </w:style>
  <w:style w:type="paragraph" w:styleId="P7">
    <w:name w:val="Heading"/>
    <w:basedOn w:val="P1"/>
    <w:next w:val="P3"/>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No Spacing1"/>
    <w:basedOn w:val="P1"/>
    <w:next w:val="P9"/>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0">
    <w:name w:val="列表"/>
    <w:basedOn w:val="P3"/>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10"/>
    <w:basedOn w:val="C3"/>
    <w:rPr>
      <w:rFonts w:ascii="Calibri" w:hAnsi="Calibri"/>
    </w:rPr>
  </w:style>
  <w:style w:type="character" w:styleId="C6">
    <w:name w:val="15"/>
    <w:basedOn w:val="C3"/>
    <w:rPr>
      <w:rFonts w:ascii="Calibri" w:hAnsi="Calibri"/>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