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8F20A" Type="http://schemas.openxmlformats.org/officeDocument/2006/relationships/officeDocument" Target="/word/document.xml" /><Relationship Id="coreR5E8F20A" Type="http://schemas.openxmlformats.org/package/2006/relationships/metadata/core-properties" Target="/docProps/core.xml" /><Relationship Id="customR5E8F2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太原市晋祠保护条例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日太原市第十届人民代表大会常务委员会第三十七次会议通过　</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日山西省第九届人民代表大会常务委员会第二十八次会议批准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日山西省第十一届人民代表大会常务委员会第二十九次会议批准的</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日太原市第十二届人民代表大会常务委员会第三十九次会议通过的《太原市人民代表大会常务委员会关于修改部分地方性法规的决定》第一次修正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日山西省第十二届人民代表大会常务委员会第二十三次会议批准的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日太原市第十三届人民代表大会常务委员会第三十三次会议通过的《太原市人民代表大会常务委员会关于集中修改部分地方性法规的决定》第二次修正）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为了加强对晋祠的保护和管理，根据《中华人民共和国文物保护法》以及其他有关法律、法规的规定，制定本条例。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晋祠保护区分为重点保护区和建设控制区。</w:t>
      </w:r>
    </w:p>
    <w:p>
      <w:pPr>
        <w:pStyle w:val="P1"/>
        <w:spacing w:lineRule="exact" w:line="578"/>
        <w:ind w:firstLine="640"/>
        <w:rPr>
          <w:rStyle w:val="C3"/>
          <w:rFonts w:ascii="仿宋_GB2312" w:hAnsi="仿宋_GB2312"/>
          <w:sz w:val="32"/>
        </w:rPr>
      </w:pPr>
      <w:r>
        <w:rPr>
          <w:rStyle w:val="C3"/>
          <w:rFonts w:ascii="Microsoft YaHei UI" w:hAnsi="Microsoft YaHei UI"/>
          <w:sz w:val="32"/>
        </w:rPr>
        <w:t>重点保护区的范围是晋祠围墙内和以围墙为基线，向东、南、北方向各延伸</w:t>
      </w:r>
      <w:r>
        <w:rPr>
          <w:rStyle w:val="C3"/>
          <w:rFonts w:ascii="仿宋_GB2312" w:hAnsi="仿宋_GB2312"/>
          <w:sz w:val="32"/>
        </w:rPr>
        <w:t>50</w:t>
      </w:r>
      <w:r>
        <w:rPr>
          <w:rStyle w:val="C3"/>
          <w:rFonts w:ascii="Microsoft YaHei UI" w:hAnsi="Microsoft YaHei UI"/>
          <w:sz w:val="32"/>
        </w:rPr>
        <w:t>米，向西延伸至悬瓮山主峰的区域。</w:t>
      </w:r>
    </w:p>
    <w:p>
      <w:pPr>
        <w:pStyle w:val="P1"/>
        <w:spacing w:lineRule="exact" w:line="578"/>
        <w:ind w:firstLine="640"/>
        <w:rPr>
          <w:rStyle w:val="C3"/>
          <w:rFonts w:ascii="仿宋_GB2312" w:hAnsi="仿宋_GB2312"/>
          <w:sz w:val="32"/>
        </w:rPr>
      </w:pPr>
      <w:r>
        <w:rPr>
          <w:rStyle w:val="C3"/>
          <w:rFonts w:ascii="Microsoft YaHei UI" w:hAnsi="Microsoft YaHei UI"/>
          <w:sz w:val="32"/>
        </w:rPr>
        <w:t>建设控制区的范围是从重点保护区外围向东延伸至晋夏公路，向南延伸至马房峪沙河，向北延伸明仙峪沙河，向西延伸至悬瓮山西麓。</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晋祠保护区内的所有单位和个人，以及进入晋祠保护区参观、游览、考察的单位和个人，均应遵守本条例。</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市文物行政管理部门是晋祠保护和管理工作的主管部门，负责组织协调有关部门做好晋祠的保护和管理工作。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市人民政府有关部门和晋源区人民政府，应当根据各自职责做好晋祠的保护工作。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晋祠保护、管理和维修经费的主要来源：</w:t>
      </w:r>
    </w:p>
    <w:p>
      <w:pPr>
        <w:pStyle w:val="P1"/>
        <w:spacing w:lineRule="exact" w:line="578"/>
        <w:ind w:firstLine="640"/>
        <w:rPr>
          <w:rStyle w:val="C3"/>
          <w:rFonts w:ascii="仿宋_GB2312" w:hAnsi="仿宋_GB2312"/>
          <w:sz w:val="32"/>
        </w:rPr>
      </w:pPr>
      <w:r>
        <w:rPr>
          <w:rStyle w:val="C3"/>
          <w:rFonts w:ascii="Microsoft YaHei UI" w:hAnsi="Microsoft YaHei UI"/>
          <w:sz w:val="32"/>
        </w:rPr>
        <w:t>（一）国家、省人民政府和其他有关部门的专项拨款；</w:t>
      </w:r>
    </w:p>
    <w:p>
      <w:pPr>
        <w:pStyle w:val="P1"/>
        <w:spacing w:lineRule="exact" w:line="578"/>
        <w:ind w:firstLine="640"/>
        <w:rPr>
          <w:rStyle w:val="C3"/>
          <w:rFonts w:ascii="仿宋_GB2312" w:hAnsi="仿宋_GB2312"/>
          <w:sz w:val="32"/>
        </w:rPr>
      </w:pPr>
      <w:r>
        <w:rPr>
          <w:rStyle w:val="C3"/>
          <w:rFonts w:ascii="Microsoft YaHei UI" w:hAnsi="Microsoft YaHei UI"/>
          <w:sz w:val="32"/>
        </w:rPr>
        <w:t>（二）市财政预算；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（三）国内外团体和个人的捐赠款。</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单位和个人都有保护晋祠的义务，有权对盗窃、损坏文物的行为检举、控告。</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市人民政府应当对在保护和管理晋祠文物工作中做出突出贡献的单位和个人，给予表彰和奖励。</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市文物行政管理部门应当运用先进科学技术，建立严密的防范机制，切实加强防火、防盗，提高保护管理文物的水平。</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市文物行政管理部门应当对圣母殿、鱼沼飞梁、献殿、周柏、唐槐、难老泉、宋塑侍女像等重点文物逐一制定出具体保护措施，给予特殊保护，并建立保护维修档案。</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市文物行政管理部门应当在晋祠重点保护区和建设控制区设置明显保护标志。任何单位和个人不得擅自移动或者破坏保护标志。</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晋祠围墙内禁止下列行为：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（一）擅自拓印石刻、复制文物、测绘古建筑和纪念建筑物；</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（二）擅自拍摄室内塑像、壁画；</w:t>
      </w:r>
    </w:p>
    <w:p>
      <w:pPr>
        <w:pStyle w:val="P1"/>
        <w:spacing w:lineRule="exact" w:line="578"/>
        <w:ind w:firstLine="640"/>
        <w:rPr>
          <w:rStyle w:val="C3"/>
          <w:rFonts w:ascii="仿宋_GB2312" w:hAnsi="仿宋_GB2312"/>
          <w:sz w:val="32"/>
        </w:rPr>
      </w:pPr>
      <w:r>
        <w:rPr>
          <w:rStyle w:val="C3"/>
          <w:rFonts w:ascii="Microsoft YaHei UI" w:hAnsi="Microsoft YaHei UI"/>
          <w:sz w:val="32"/>
        </w:rPr>
        <w:t>（三）刻划、涂污文物；</w:t>
      </w:r>
    </w:p>
    <w:p>
      <w:pPr>
        <w:pStyle w:val="P1"/>
        <w:spacing w:lineRule="exact" w:line="578"/>
        <w:ind w:firstLine="640"/>
        <w:rPr>
          <w:rStyle w:val="C3"/>
          <w:rFonts w:ascii="仿宋_GB2312" w:hAnsi="仿宋_GB2312"/>
          <w:sz w:val="32"/>
        </w:rPr>
      </w:pPr>
      <w:r>
        <w:rPr>
          <w:rStyle w:val="C3"/>
          <w:rFonts w:ascii="Microsoft YaHei UI" w:hAnsi="Microsoft YaHei UI"/>
          <w:sz w:val="32"/>
        </w:rPr>
        <w:t>（四）攀登、毁坏树木和毁坏绿地；</w:t>
      </w:r>
    </w:p>
    <w:p>
      <w:pPr>
        <w:pStyle w:val="P1"/>
        <w:spacing w:lineRule="exact" w:line="578"/>
        <w:ind w:firstLine="640"/>
        <w:rPr>
          <w:rStyle w:val="C3"/>
          <w:rFonts w:ascii="仿宋_GB2312" w:hAnsi="仿宋_GB2312"/>
          <w:sz w:val="32"/>
        </w:rPr>
      </w:pPr>
      <w:r>
        <w:rPr>
          <w:rStyle w:val="C3"/>
          <w:rFonts w:ascii="Microsoft YaHei UI" w:hAnsi="Microsoft YaHei UI"/>
          <w:sz w:val="32"/>
        </w:rPr>
        <w:t>（五）捞鱼、扔杂物；</w:t>
      </w:r>
    </w:p>
    <w:p>
      <w:pPr>
        <w:pStyle w:val="P1"/>
        <w:spacing w:lineRule="exact" w:line="578"/>
        <w:ind w:firstLine="640"/>
        <w:rPr>
          <w:rStyle w:val="C3"/>
          <w:rFonts w:ascii="仿宋_GB2312" w:hAnsi="仿宋_GB2312"/>
          <w:sz w:val="32"/>
        </w:rPr>
      </w:pPr>
      <w:r>
        <w:rPr>
          <w:rStyle w:val="C3"/>
          <w:rFonts w:ascii="Microsoft YaHei UI" w:hAnsi="Microsoft YaHei UI"/>
          <w:sz w:val="32"/>
        </w:rPr>
        <w:t>（六）燃放烟花爆竹、焚烧杂物。</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禁止机动车辆驶入晋祠围墙内，执行消防、急救、抢险任务的车辆除外。</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在晋祠保护区内拍摄电影、电视，应当经市文物行政管理部门批准，并在管理人员的监督下进行。</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在晋祠重点保护区内，不得建造影响晋祠文物保护的建筑物、构筑物；已存在的，由市人民政府负责拆除或搬迁。</w:t>
      </w:r>
    </w:p>
    <w:p>
      <w:pPr>
        <w:pStyle w:val="P1"/>
        <w:spacing w:lineRule="exact" w:line="578"/>
        <w:ind w:firstLine="640"/>
        <w:rPr>
          <w:rStyle w:val="C3"/>
          <w:rFonts w:ascii="仿宋_GB2312" w:hAnsi="仿宋_GB2312"/>
          <w:sz w:val="32"/>
        </w:rPr>
      </w:pPr>
      <w:r>
        <w:rPr>
          <w:rStyle w:val="C3"/>
          <w:rFonts w:ascii="Microsoft YaHei UI" w:hAnsi="Microsoft YaHei UI"/>
          <w:sz w:val="32"/>
        </w:rPr>
        <w:t>在晋祠建设控制区内，不得建设影响和危害晋祠安全的设施；不得新建与晋祠环境风貌和文化内涵不协调的建筑物、构筑物。</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新建过境晋祠重点保护区的通讯、输电线路应当铺设地下管线。已有的空架通讯、输电线路，应当逐步改为地下管线。</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凡在晋祠重点保护区从事经营活动的单位和个人，应当征得市文物行政管理部门的同意。</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在晋祠保护区内禁止下列行为：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（一）随意堆放、倾倒垃圾；</w:t>
      </w:r>
    </w:p>
    <w:p>
      <w:pPr>
        <w:pStyle w:val="P1"/>
        <w:spacing w:lineRule="exact" w:line="578"/>
        <w:ind w:firstLine="640"/>
        <w:rPr>
          <w:rStyle w:val="C3"/>
          <w:rFonts w:ascii="仿宋_GB2312" w:hAnsi="仿宋_GB2312"/>
          <w:sz w:val="32"/>
        </w:rPr>
      </w:pPr>
      <w:r>
        <w:rPr>
          <w:rStyle w:val="C3"/>
          <w:rFonts w:ascii="Microsoft YaHei UI" w:hAnsi="Microsoft YaHei UI"/>
          <w:sz w:val="32"/>
        </w:rPr>
        <w:t>（二）超标准排放废气、废水；</w:t>
      </w:r>
    </w:p>
    <w:p>
      <w:pPr>
        <w:pStyle w:val="P1"/>
        <w:spacing w:lineRule="exact" w:line="578"/>
        <w:ind w:firstLine="640"/>
        <w:rPr>
          <w:rStyle w:val="C3"/>
          <w:rFonts w:ascii="仿宋_GB2312" w:hAnsi="仿宋_GB2312"/>
          <w:sz w:val="32"/>
        </w:rPr>
      </w:pPr>
      <w:r>
        <w:rPr>
          <w:rStyle w:val="C3"/>
          <w:rFonts w:ascii="Microsoft YaHei UI" w:hAnsi="Microsoft YaHei UI"/>
          <w:sz w:val="32"/>
        </w:rPr>
        <w:t>（三）堆放工业固体废物；</w:t>
      </w:r>
    </w:p>
    <w:p>
      <w:pPr>
        <w:pStyle w:val="P1"/>
        <w:spacing w:lineRule="exact" w:line="578"/>
        <w:ind w:firstLine="640"/>
        <w:rPr>
          <w:rStyle w:val="C3"/>
          <w:rFonts w:ascii="仿宋_GB2312" w:hAnsi="仿宋_GB2312"/>
          <w:sz w:val="32"/>
        </w:rPr>
      </w:pPr>
      <w:r>
        <w:rPr>
          <w:rStyle w:val="C3"/>
          <w:rFonts w:ascii="Microsoft YaHei UI" w:hAnsi="Microsoft YaHei UI"/>
          <w:sz w:val="32"/>
        </w:rPr>
        <w:t>（四）砍伐树木、破坏植被；</w:t>
      </w:r>
    </w:p>
    <w:p>
      <w:pPr>
        <w:pStyle w:val="P1"/>
        <w:spacing w:lineRule="exact" w:line="578"/>
        <w:ind w:firstLine="640"/>
        <w:rPr>
          <w:rStyle w:val="C3"/>
          <w:rFonts w:ascii="仿宋_GB2312" w:hAnsi="仿宋_GB2312"/>
          <w:sz w:val="32"/>
        </w:rPr>
      </w:pPr>
      <w:r>
        <w:rPr>
          <w:rStyle w:val="C3"/>
          <w:rFonts w:ascii="Microsoft YaHei UI" w:hAnsi="Microsoft YaHei UI"/>
          <w:sz w:val="32"/>
        </w:rPr>
        <w:t>（五）擅自打井、挖泉。</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禁止在悬瓮山修建坟墓、祭奠烧纸。</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违反本条例第十条规定，擅自移动或者破坏晋祠保护标志的，由市文物行政管理部门责令恢复原状；造成损失的，赔偿损失。</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违反本条例第十一条规定之一的，由市文物行政管理部门予以警告，并可处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元以下罚款；造成损失的，赔偿损失。</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违反本条例第十四条第二款、第十七条、第十八条规定的，由市文物行政管理部门责令停止违法行为、采取补救措施、限期治理、赔偿损失，并由有关部门依法给予罚款。</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晋祠保护和管理的工作人员滥用职权、徇私舞弊、玩忽职守的，依法给予处分；构成犯罪的，依法追究刑事责任。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本条例自公布之日起施行。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6"/>
    <w:pPr>
      <w:spacing w:before="100" w:after="100" w:beforeAutospacing="1" w:afterAutospacing="1"/>
      <w:jc w:val="left"/>
      <w:outlineLvl w:val="2"/>
    </w:pPr>
    <w:rPr>
      <w:rFonts w:ascii="宋体" w:hAnsi="宋体"/>
      <w:b w:val="1"/>
      <w:sz w:val="27"/>
    </w:rPr>
  </w:style>
  <w:style w:type="paragraph" w:styleId="P5">
    <w:name w:val="页脚"/>
    <w:basedOn w:val="P1"/>
    <w:next w:val="P5"/>
    <w:link w:val="C8"/>
    <w:pPr>
      <w:tabs>
        <w:tab w:val="center" w:pos="4153" w:leader="none"/>
        <w:tab w:val="right" w:pos="8306" w:leader="none"/>
      </w:tabs>
      <w:jc w:val="left"/>
    </w:pPr>
    <w:rPr>
      <w:rFonts w:ascii="Calibri" w:hAnsi="Calibri"/>
      <w:sz w:val="18"/>
    </w:rPr>
  </w:style>
  <w:style w:type="paragraph" w:styleId="P6">
    <w:name w:val="页眉"/>
    <w:basedOn w:val="P1"/>
    <w:next w:val="P6"/>
    <w:link w:val="C4"/>
    <w:pPr>
      <w:pBdr>
        <w:bottom w:val="single" w:sz="6" w:space="0" w:shadow="0" w:frame="0"/>
      </w:pBdr>
      <w:tabs>
        <w:tab w:val="center" w:pos="4153" w:leader="none"/>
        <w:tab w:val="right" w:pos="8306" w:leader="none"/>
      </w:tabs>
      <w:jc w:val="center"/>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6"/>
    <w:rPr>
      <w:rFonts w:ascii="Calibri" w:hAnsi="Calibri"/>
      <w:sz w:val="18"/>
    </w:rPr>
  </w:style>
  <w:style w:type="character" w:styleId="C5">
    <w:name w:val="标题 1 Char"/>
    <w:link w:val="P2"/>
    <w:rPr>
      <w:rFonts w:ascii="宋体" w:hAnsi="宋体"/>
      <w:b w:val="1"/>
      <w:sz w:val="48"/>
    </w:rPr>
  </w:style>
  <w:style w:type="character" w:styleId="C6">
    <w:name w:val="标题 3 Char"/>
    <w:link w:val="P4"/>
    <w:rPr>
      <w:rFonts w:ascii="宋体" w:hAnsi="宋体"/>
      <w:b w:val="1"/>
      <w:sz w:val="27"/>
    </w:rPr>
  </w:style>
  <w:style w:type="character" w:styleId="C7">
    <w:name w:val="标题 2 Char"/>
    <w:link w:val="P3"/>
    <w:rPr>
      <w:rFonts w:ascii="宋体" w:hAnsi="宋体"/>
      <w:b w:val="1"/>
      <w:sz w:val="36"/>
    </w:rPr>
  </w:style>
  <w:style w:type="character" w:styleId="C8">
    <w:name w:val="页脚 Char"/>
    <w:link w:val="P5"/>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2024-08-28T01:34:27Z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