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653976" Type="http://schemas.openxmlformats.org/officeDocument/2006/relationships/officeDocument" Target="/word/document.xml" /><Relationship Id="coreR65653976" Type="http://schemas.openxmlformats.org/package/2006/relationships/metadata/core-properties" Target="/docProps/core.xml" /><Relationship Id="customR6565397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宋体" w:hAnsi="宋体"/>
          <w:sz w:val="32"/>
        </w:rPr>
      </w:pPr>
    </w:p>
    <w:p>
      <w:pPr>
        <w:pStyle w:val="P1"/>
        <w:spacing w:lineRule="exact" w:line="578"/>
        <w:jc w:val="center"/>
        <w:rPr>
          <w:rStyle w:val="C3"/>
          <w:rFonts w:ascii="宋体" w:hAnsi="宋体"/>
          <w:sz w:val="32"/>
        </w:rPr>
      </w:pPr>
    </w:p>
    <w:p>
      <w:pPr>
        <w:pStyle w:val="P1"/>
        <w:spacing w:lineRule="exact" w:line="578"/>
        <w:jc w:val="center"/>
        <w:rPr>
          <w:rStyle w:val="C3"/>
          <w:rFonts w:ascii="宋体" w:hAnsi="宋体"/>
          <w:sz w:val="44"/>
        </w:rPr>
      </w:pPr>
      <w:r>
        <w:rPr>
          <w:rStyle w:val="C3"/>
          <w:rFonts w:ascii="宋体" w:hAnsi="宋体"/>
          <w:sz w:val="44"/>
        </w:rPr>
        <w:t>太原市人民代表大会常务委员会</w:t>
      </w:r>
    </w:p>
    <w:p>
      <w:pPr>
        <w:pStyle w:val="P1"/>
        <w:spacing w:lineRule="exact" w:line="578"/>
        <w:jc w:val="center"/>
        <w:rPr>
          <w:rStyle w:val="C3"/>
          <w:rFonts w:ascii="宋体" w:hAnsi="宋体"/>
          <w:sz w:val="44"/>
        </w:rPr>
      </w:pPr>
      <w:r>
        <w:rPr>
          <w:rStyle w:val="C3"/>
          <w:rFonts w:ascii="宋体" w:hAnsi="宋体"/>
          <w:sz w:val="44"/>
        </w:rPr>
        <w:t>讨论决定重大事项的规定</w:t>
      </w:r>
    </w:p>
    <w:p>
      <w:pPr>
        <w:pStyle w:val="P1"/>
        <w:spacing w:lineRule="exact" w:line="578"/>
        <w:ind w:firstLine="640" w:left="420" w:right="420"/>
        <w:rPr>
          <w:rStyle w:val="C3"/>
          <w:rFonts w:ascii="楷体_GB2312" w:hAnsi="楷体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日太原市第十届人民代表大会常务委员会第三十五次会议通过　</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日山西省第九届人民代表大会常务委员会第二十六次会议批准）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保障和规范市人民代表大会常务委员会依法讨论、决定本行政区域内重大事项，根据《中华人民共和国宪法》、《中华人民共和国地方各级人民代表大会和地方各级人民政府组织法》和其他法律、法规的有关规定，结合本市实际，制定本规定。</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规定所称重大事项，是指本行政区域内的政治、经济、教育、科学、文化、卫生、环境和资源保护、民政、民族等工作方面带有根本性、全局性、长远性以及涉及较多数群众切身利益或者较多数群众普遍关心的事项。</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市人民代表大会常务委员会讨论、决定重大事项，应当充分发扬民主，集体行使职权。</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下列重大事项应当提请市人民代表大会常务委员会决定：</w:t>
      </w:r>
    </w:p>
    <w:p>
      <w:pPr>
        <w:pStyle w:val="P1"/>
        <w:spacing w:lineRule="exact" w:line="578"/>
        <w:ind w:firstLine="640"/>
        <w:rPr>
          <w:rStyle w:val="C3"/>
          <w:rFonts w:ascii="仿宋_GB2312" w:hAnsi="仿宋_GB2312"/>
          <w:sz w:val="32"/>
        </w:rPr>
      </w:pPr>
      <w:r>
        <w:rPr>
          <w:rStyle w:val="C3"/>
          <w:rFonts w:ascii="Microsoft YaHei UI" w:hAnsi="Microsoft YaHei UI"/>
          <w:sz w:val="32"/>
        </w:rPr>
        <w:t>（一）国民经济和社会发展计划、预算的调整和部分变更，本级决算；</w:t>
      </w:r>
    </w:p>
    <w:p>
      <w:pPr>
        <w:pStyle w:val="P1"/>
        <w:spacing w:lineRule="exact" w:line="578"/>
        <w:ind w:firstLine="640"/>
        <w:rPr>
          <w:rStyle w:val="C3"/>
          <w:rFonts w:ascii="仿宋_GB2312" w:hAnsi="仿宋_GB2312"/>
          <w:sz w:val="32"/>
        </w:rPr>
      </w:pPr>
      <w:r>
        <w:rPr>
          <w:rStyle w:val="C3"/>
          <w:rFonts w:ascii="Microsoft YaHei UI" w:hAnsi="Microsoft YaHei UI"/>
          <w:sz w:val="32"/>
        </w:rPr>
        <w:t>（二）依法治市，科教兴市纲要；</w:t>
      </w:r>
    </w:p>
    <w:p>
      <w:pPr>
        <w:pStyle w:val="P1"/>
        <w:spacing w:lineRule="exact" w:line="578"/>
        <w:ind w:firstLine="640"/>
        <w:rPr>
          <w:rStyle w:val="C3"/>
          <w:rFonts w:ascii="仿宋_GB2312" w:hAnsi="仿宋_GB2312"/>
          <w:sz w:val="32"/>
        </w:rPr>
      </w:pPr>
      <w:r>
        <w:rPr>
          <w:rStyle w:val="C3"/>
          <w:rFonts w:ascii="Microsoft YaHei UI" w:hAnsi="Microsoft YaHei UI"/>
          <w:sz w:val="32"/>
        </w:rPr>
        <w:t>（三）撤销县（市、区）人民代表大会及其常务委员会不适当的决议或决定。</w:t>
      </w:r>
    </w:p>
    <w:p>
      <w:pPr>
        <w:pStyle w:val="P1"/>
        <w:spacing w:lineRule="exact" w:line="578"/>
        <w:ind w:firstLine="640"/>
        <w:rPr>
          <w:rStyle w:val="C3"/>
          <w:rFonts w:ascii="仿宋_GB2312" w:hAnsi="仿宋_GB2312"/>
          <w:sz w:val="32"/>
        </w:rPr>
      </w:pPr>
      <w:r>
        <w:rPr>
          <w:rStyle w:val="C3"/>
          <w:rFonts w:ascii="Microsoft YaHei UI" w:hAnsi="Microsoft YaHei UI"/>
          <w:sz w:val="32"/>
        </w:rPr>
        <w:t>（四）撤销市人民政府不适当的规章、决定和命令；</w:t>
      </w:r>
    </w:p>
    <w:p>
      <w:pPr>
        <w:pStyle w:val="P1"/>
        <w:spacing w:lineRule="exact" w:line="578"/>
        <w:ind w:firstLine="640"/>
        <w:rPr>
          <w:rStyle w:val="C3"/>
          <w:rFonts w:ascii="仿宋_GB2312" w:hAnsi="仿宋_GB2312"/>
          <w:sz w:val="32"/>
        </w:rPr>
      </w:pPr>
      <w:r>
        <w:rPr>
          <w:rStyle w:val="C3"/>
          <w:rFonts w:ascii="Microsoft YaHei UI" w:hAnsi="Microsoft YaHei UI"/>
          <w:sz w:val="32"/>
        </w:rPr>
        <w:t>（五）市人民检察院检察长在重大问题上不同意检察委员会多数人的决定而提请的事项；</w:t>
      </w:r>
    </w:p>
    <w:p>
      <w:pPr>
        <w:pStyle w:val="P1"/>
        <w:spacing w:lineRule="exact" w:line="578"/>
        <w:ind w:firstLine="640"/>
        <w:rPr>
          <w:rStyle w:val="C3"/>
          <w:rFonts w:ascii="仿宋_GB2312" w:hAnsi="仿宋_GB2312"/>
          <w:sz w:val="32"/>
        </w:rPr>
      </w:pPr>
      <w:r>
        <w:rPr>
          <w:rStyle w:val="C3"/>
          <w:rFonts w:ascii="Microsoft YaHei UI" w:hAnsi="Microsoft YaHei UI"/>
          <w:sz w:val="32"/>
        </w:rPr>
        <w:t>（六）授予或撤销地方荣誉称号；</w:t>
      </w:r>
    </w:p>
    <w:p>
      <w:pPr>
        <w:pStyle w:val="P1"/>
        <w:spacing w:lineRule="exact" w:line="578"/>
        <w:ind w:firstLine="640"/>
        <w:rPr>
          <w:rStyle w:val="C3"/>
          <w:rFonts w:ascii="仿宋_GB2312" w:hAnsi="仿宋_GB2312"/>
          <w:sz w:val="32"/>
        </w:rPr>
      </w:pPr>
      <w:r>
        <w:rPr>
          <w:rStyle w:val="C3"/>
          <w:rFonts w:ascii="Microsoft YaHei UI" w:hAnsi="Microsoft YaHei UI"/>
          <w:sz w:val="32"/>
        </w:rPr>
        <w:t>（七）法律、法规规定应当由市人民代表大会常务委员会决定的其他重大事项。</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下列重大事项应当向市人民代表大会常务委员会报告：</w:t>
      </w:r>
    </w:p>
    <w:p>
      <w:pPr>
        <w:pStyle w:val="P1"/>
        <w:spacing w:lineRule="exact" w:line="578"/>
        <w:ind w:firstLine="640"/>
        <w:rPr>
          <w:rStyle w:val="C3"/>
          <w:rFonts w:ascii="仿宋_GB2312" w:hAnsi="仿宋_GB2312"/>
          <w:sz w:val="32"/>
        </w:rPr>
      </w:pPr>
      <w:r>
        <w:rPr>
          <w:rStyle w:val="C3"/>
          <w:rFonts w:ascii="Microsoft YaHei UI" w:hAnsi="Microsoft YaHei UI"/>
          <w:sz w:val="32"/>
        </w:rPr>
        <w:t>（一）贯彻执行宪法、法律、行政法规、地方性法规和重要执法检查的情况；</w:t>
      </w:r>
    </w:p>
    <w:p>
      <w:pPr>
        <w:pStyle w:val="P1"/>
        <w:spacing w:lineRule="exact" w:line="578"/>
        <w:ind w:firstLine="640"/>
        <w:rPr>
          <w:rStyle w:val="C3"/>
          <w:rFonts w:ascii="仿宋_GB2312" w:hAnsi="仿宋_GB2312"/>
          <w:sz w:val="32"/>
        </w:rPr>
      </w:pPr>
      <w:r>
        <w:rPr>
          <w:rStyle w:val="C3"/>
          <w:rFonts w:ascii="Microsoft YaHei UI" w:hAnsi="Microsoft YaHei UI"/>
          <w:sz w:val="32"/>
        </w:rPr>
        <w:t>（二）执行市人民代表大会及其常务委员会决议、决定的情况；</w:t>
      </w:r>
    </w:p>
    <w:p>
      <w:pPr>
        <w:pStyle w:val="P1"/>
        <w:spacing w:lineRule="exact" w:line="578"/>
        <w:ind w:firstLine="640"/>
        <w:rPr>
          <w:rStyle w:val="C3"/>
          <w:rFonts w:ascii="仿宋_GB2312" w:hAnsi="仿宋_GB2312"/>
          <w:sz w:val="32"/>
        </w:rPr>
      </w:pPr>
      <w:r>
        <w:rPr>
          <w:rStyle w:val="C3"/>
          <w:rFonts w:ascii="Microsoft YaHei UI" w:hAnsi="Microsoft YaHei UI"/>
          <w:sz w:val="32"/>
        </w:rPr>
        <w:t>（三）本年度国民经济和社会发展计划、总预算和本级预算的执行情况；</w:t>
      </w:r>
    </w:p>
    <w:p>
      <w:pPr>
        <w:pStyle w:val="P1"/>
        <w:spacing w:lineRule="exact" w:line="578"/>
        <w:ind w:firstLine="640"/>
        <w:rPr>
          <w:rStyle w:val="C3"/>
          <w:rFonts w:ascii="仿宋_GB2312" w:hAnsi="仿宋_GB2312"/>
          <w:sz w:val="32"/>
        </w:rPr>
      </w:pPr>
      <w:r>
        <w:rPr>
          <w:rStyle w:val="C3"/>
          <w:rFonts w:ascii="Microsoft YaHei UI" w:hAnsi="Microsoft YaHei UI"/>
          <w:sz w:val="32"/>
        </w:rPr>
        <w:t>（四）预算外资金的收支使用和管理情况；</w:t>
      </w:r>
    </w:p>
    <w:p>
      <w:pPr>
        <w:pStyle w:val="P1"/>
        <w:spacing w:lineRule="exact" w:line="578"/>
        <w:ind w:firstLine="640"/>
        <w:rPr>
          <w:rStyle w:val="C3"/>
          <w:rFonts w:ascii="仿宋_GB2312" w:hAnsi="仿宋_GB2312"/>
          <w:sz w:val="32"/>
        </w:rPr>
      </w:pPr>
      <w:r>
        <w:rPr>
          <w:rStyle w:val="C3"/>
          <w:rFonts w:ascii="Microsoft YaHei UI" w:hAnsi="Microsoft YaHei UI"/>
          <w:sz w:val="32"/>
        </w:rPr>
        <w:t>（五）本级预算执行和其他财政收支的审计情况；</w:t>
      </w:r>
    </w:p>
    <w:p>
      <w:pPr>
        <w:pStyle w:val="P1"/>
        <w:spacing w:lineRule="exact" w:line="578"/>
        <w:ind w:firstLine="640"/>
        <w:rPr>
          <w:rStyle w:val="C3"/>
          <w:rFonts w:ascii="仿宋_GB2312" w:hAnsi="仿宋_GB2312"/>
          <w:sz w:val="32"/>
        </w:rPr>
      </w:pPr>
      <w:r>
        <w:rPr>
          <w:rStyle w:val="C3"/>
          <w:rFonts w:ascii="Microsoft YaHei UI" w:hAnsi="Microsoft YaHei UI"/>
          <w:sz w:val="32"/>
        </w:rPr>
        <w:t>（六）依法治市、科教兴市纲要年度实施情况；</w:t>
      </w:r>
    </w:p>
    <w:p>
      <w:pPr>
        <w:pStyle w:val="P1"/>
        <w:spacing w:lineRule="exact" w:line="578"/>
        <w:ind w:firstLine="640"/>
        <w:rPr>
          <w:rStyle w:val="C3"/>
          <w:rFonts w:ascii="仿宋_GB2312" w:hAnsi="仿宋_GB2312"/>
          <w:sz w:val="32"/>
        </w:rPr>
      </w:pPr>
      <w:r>
        <w:rPr>
          <w:rStyle w:val="C3"/>
          <w:rFonts w:ascii="Microsoft YaHei UI" w:hAnsi="Microsoft YaHei UI"/>
          <w:sz w:val="32"/>
        </w:rPr>
        <w:t>（七）计划生育、土地管理、资源和环境保护、生态建设、义务教育、民族、宗教、侨务政策方面的重大措施；</w:t>
      </w:r>
    </w:p>
    <w:p>
      <w:pPr>
        <w:pStyle w:val="P1"/>
        <w:spacing w:lineRule="exact" w:line="578"/>
        <w:ind w:firstLine="640"/>
        <w:rPr>
          <w:rStyle w:val="C3"/>
          <w:rFonts w:ascii="仿宋_GB2312" w:hAnsi="仿宋_GB2312"/>
          <w:sz w:val="32"/>
        </w:rPr>
      </w:pPr>
      <w:r>
        <w:rPr>
          <w:rStyle w:val="C3"/>
          <w:rFonts w:ascii="Microsoft YaHei UI" w:hAnsi="Microsoft YaHei UI"/>
          <w:sz w:val="32"/>
        </w:rPr>
        <w:t>（八）国民经济建设布局和产业结构调整；</w:t>
      </w:r>
    </w:p>
    <w:p>
      <w:pPr>
        <w:pStyle w:val="P1"/>
        <w:spacing w:lineRule="exact" w:line="578"/>
        <w:ind w:firstLine="640"/>
        <w:rPr>
          <w:rStyle w:val="C3"/>
          <w:rFonts w:ascii="仿宋_GB2312" w:hAnsi="仿宋_GB2312"/>
          <w:sz w:val="32"/>
        </w:rPr>
      </w:pPr>
      <w:r>
        <w:rPr>
          <w:rStyle w:val="C3"/>
          <w:rFonts w:ascii="Microsoft YaHei UI" w:hAnsi="Microsoft YaHei UI"/>
          <w:sz w:val="32"/>
        </w:rPr>
        <w:t>（九）经济建设和经济体制改革方面的重大措施；</w:t>
      </w:r>
    </w:p>
    <w:p>
      <w:pPr>
        <w:pStyle w:val="P1"/>
        <w:spacing w:lineRule="exact" w:line="578"/>
        <w:ind w:firstLine="640"/>
        <w:rPr>
          <w:rStyle w:val="C3"/>
          <w:rFonts w:ascii="仿宋_GB2312" w:hAnsi="仿宋_GB2312"/>
          <w:sz w:val="32"/>
        </w:rPr>
      </w:pPr>
      <w:r>
        <w:rPr>
          <w:rStyle w:val="C3"/>
          <w:rFonts w:ascii="Microsoft YaHei UI" w:hAnsi="Microsoft YaHei UI"/>
          <w:sz w:val="32"/>
        </w:rPr>
        <w:t>（十）城市总体规划的修编、调整和城市规划的执行情况；</w:t>
      </w:r>
    </w:p>
    <w:p>
      <w:pPr>
        <w:pStyle w:val="P1"/>
        <w:spacing w:lineRule="exact" w:line="578"/>
        <w:ind w:firstLine="640"/>
        <w:rPr>
          <w:rStyle w:val="C3"/>
          <w:rFonts w:ascii="仿宋_GB2312" w:hAnsi="仿宋_GB2312"/>
          <w:sz w:val="32"/>
        </w:rPr>
      </w:pPr>
      <w:r>
        <w:rPr>
          <w:rStyle w:val="C3"/>
          <w:rFonts w:ascii="Microsoft YaHei UI" w:hAnsi="Microsoft YaHei UI"/>
          <w:sz w:val="32"/>
        </w:rPr>
        <w:t>（十一）城市大型基础设施建设项目及其建设情况；</w:t>
      </w:r>
    </w:p>
    <w:p>
      <w:pPr>
        <w:pStyle w:val="P1"/>
        <w:spacing w:lineRule="exact" w:line="578"/>
        <w:ind w:firstLine="640"/>
        <w:rPr>
          <w:rStyle w:val="C3"/>
          <w:rFonts w:ascii="仿宋_GB2312" w:hAnsi="仿宋_GB2312"/>
          <w:sz w:val="32"/>
        </w:rPr>
      </w:pPr>
      <w:r>
        <w:rPr>
          <w:rStyle w:val="C3"/>
          <w:rFonts w:ascii="Microsoft YaHei UI" w:hAnsi="Microsoft YaHei UI"/>
          <w:sz w:val="32"/>
        </w:rPr>
        <w:t>（十二）重大自然灾害和特大事故的处理情况；</w:t>
      </w:r>
    </w:p>
    <w:p>
      <w:pPr>
        <w:pStyle w:val="P1"/>
        <w:spacing w:lineRule="exact" w:line="578"/>
        <w:ind w:firstLine="640"/>
        <w:rPr>
          <w:rStyle w:val="C3"/>
          <w:rFonts w:ascii="仿宋_GB2312" w:hAnsi="仿宋_GB2312"/>
          <w:sz w:val="32"/>
        </w:rPr>
      </w:pPr>
      <w:r>
        <w:rPr>
          <w:rStyle w:val="C3"/>
          <w:rFonts w:ascii="Microsoft YaHei UI" w:hAnsi="Microsoft YaHei UI"/>
          <w:sz w:val="32"/>
        </w:rPr>
        <w:t>（十三）市人民政府、市中级人民法院、市人民检察院实行执法责任制、错案责任追究制工作情况和市人民代表大会常务委员会要求报告的重大案件的查处结果；</w:t>
      </w:r>
    </w:p>
    <w:p>
      <w:pPr>
        <w:pStyle w:val="P1"/>
        <w:spacing w:lineRule="exact" w:line="578"/>
        <w:ind w:firstLine="640"/>
        <w:rPr>
          <w:rStyle w:val="C3"/>
          <w:rFonts w:ascii="仿宋_GB2312" w:hAnsi="仿宋_GB2312"/>
          <w:sz w:val="32"/>
        </w:rPr>
      </w:pPr>
      <w:r>
        <w:rPr>
          <w:rStyle w:val="C3"/>
          <w:rFonts w:ascii="Microsoft YaHei UI" w:hAnsi="Microsoft YaHei UI"/>
          <w:sz w:val="32"/>
        </w:rPr>
        <w:t>（十四）养老、医疗、失业等社会保险基金和住房公积金、教育基金等以及城乡居（村）民最低生活保障金的管理和使用情况；</w:t>
      </w:r>
    </w:p>
    <w:p>
      <w:pPr>
        <w:pStyle w:val="P1"/>
        <w:spacing w:lineRule="exact" w:line="578"/>
        <w:ind w:firstLine="640"/>
        <w:rPr>
          <w:rStyle w:val="C3"/>
          <w:rFonts w:ascii="仿宋_GB2312" w:hAnsi="仿宋_GB2312"/>
          <w:sz w:val="32"/>
        </w:rPr>
      </w:pPr>
      <w:r>
        <w:rPr>
          <w:rStyle w:val="C3"/>
          <w:rFonts w:ascii="Microsoft YaHei UI" w:hAnsi="Microsoft YaHei UI"/>
          <w:sz w:val="32"/>
        </w:rPr>
        <w:t>（十五）县（市、区）行政区划的调整及乡镇设立、撤并；</w:t>
      </w:r>
    </w:p>
    <w:p>
      <w:pPr>
        <w:pStyle w:val="P1"/>
        <w:spacing w:lineRule="exact" w:line="578"/>
        <w:ind w:firstLine="640"/>
        <w:rPr>
          <w:rStyle w:val="C3"/>
          <w:rFonts w:ascii="仿宋_GB2312" w:hAnsi="仿宋_GB2312"/>
          <w:sz w:val="32"/>
        </w:rPr>
      </w:pPr>
      <w:r>
        <w:rPr>
          <w:rStyle w:val="C3"/>
          <w:rFonts w:ascii="Microsoft YaHei UI" w:hAnsi="Microsoft YaHei UI"/>
          <w:sz w:val="32"/>
        </w:rPr>
        <w:t>（十六）与国外城市缔结友好关系；</w:t>
      </w:r>
    </w:p>
    <w:p>
      <w:pPr>
        <w:pStyle w:val="P1"/>
        <w:spacing w:lineRule="exact" w:line="578"/>
        <w:ind w:firstLine="640"/>
        <w:rPr>
          <w:rStyle w:val="C3"/>
          <w:rFonts w:ascii="仿宋_GB2312" w:hAnsi="仿宋_GB2312"/>
          <w:sz w:val="32"/>
        </w:rPr>
      </w:pPr>
      <w:r>
        <w:rPr>
          <w:rStyle w:val="C3"/>
          <w:rFonts w:ascii="Microsoft YaHei UI" w:hAnsi="Microsoft YaHei UI"/>
          <w:sz w:val="32"/>
        </w:rPr>
        <w:t>（十七）常务委员会主任会议认为需要报告的其他重大事项。</w:t>
      </w:r>
    </w:p>
    <w:p>
      <w:pPr>
        <w:pStyle w:val="P1"/>
        <w:spacing w:lineRule="exact" w:line="578"/>
        <w:ind w:firstLine="640"/>
        <w:rPr>
          <w:rStyle w:val="C3"/>
          <w:rFonts w:ascii="仿宋_GB2312" w:hAnsi="仿宋_GB2312"/>
          <w:sz w:val="32"/>
        </w:rPr>
      </w:pPr>
      <w:r>
        <w:rPr>
          <w:rStyle w:val="C3"/>
          <w:rFonts w:ascii="Microsoft YaHei UI" w:hAnsi="Microsoft YaHei UI"/>
          <w:sz w:val="32"/>
        </w:rPr>
        <w:t>前款（三）（四）（五）（六）项规定的重大事项，每年至少应向市人民代表大会常务委员会报告一次，其他各项规定的事项根据实际情况或者按常务委员会的要求报告。</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市人民代表大会常务委员会可以对本条第一款报告的事项提出意见、建议，必要时可以作出相应的决议、决定。但是法律另有规定的除外。</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常务委员会主任会议向市人民代表大会常务委员会提出的重大事项的议案或报告，由常务委员会会议审议。</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政府、各专门委员会、市人民代表大会常务委员会组成人员５人以上联名向常务委员会提出的重大事项的议案或报告，市中级人民法院、市人民检察院向常务委员会提出的重大事项的报告，由常务委员会主任会议决定提请常务委员会会议审议，或者先交有关专门委员会审议，提出报告，再由常务委员会主任会议决定是否提请常务委员会会议审议。</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常务委员会主任会议决定不提请市人民代表大会常务委员会会议审议的议案或报告，应当由常务委员会主任会议向常务委员会会议报告或者向提案人说明。</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提请市人民代表大会常务委员会会议审议的重大事项的议案或报告，经常务委员会主任会议决定，可以先交有关专门委员会采取座谈会、论证会、听证会和实地考察等形式，广泛听取市人民代表大会代表和有关方面的意见。</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市人民代表大会常务委员会全体会议听取关于重大事项议案或报告的说明，必要时听取有关专门委员会的审议报告。</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市人民代表大会常务委员会全体会议、联组会议审议重大事项议案或报告时，提案人可以就议案的有关问题作补充说明。</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列入市人民代表大会常务委员会会议议程的重大事项的议案或报告，在常务委员会全体会议上听取提请人的说明后，召开分组会议进行审议；根据需要，也可以召开联组会议或者全体会议进行审议。</w:t>
      </w:r>
    </w:p>
    <w:p>
      <w:pPr>
        <w:pStyle w:val="P1"/>
        <w:spacing w:lineRule="exact" w:line="578"/>
        <w:ind w:firstLine="640"/>
        <w:rPr>
          <w:rStyle w:val="C3"/>
          <w:rFonts w:ascii="仿宋_GB2312" w:hAnsi="仿宋_GB2312"/>
          <w:sz w:val="32"/>
        </w:rPr>
      </w:pPr>
      <w:r>
        <w:rPr>
          <w:rStyle w:val="C3"/>
          <w:rFonts w:ascii="Microsoft YaHei UI" w:hAnsi="Microsoft YaHei UI"/>
          <w:sz w:val="32"/>
        </w:rPr>
        <w:t>列入市人民代表大会常务委员会会议议程的重大事项的议案或报告，在交付表决前，提案人要求撤回的，经常务委员会主任会议同意，在向常务委员会全体会议作出说明后，对该议案或报告的审议即行终止。</w:t>
      </w:r>
    </w:p>
    <w:p>
      <w:pPr>
        <w:pStyle w:val="P1"/>
        <w:spacing w:lineRule="exact" w:line="578"/>
        <w:ind w:firstLine="640"/>
        <w:rPr>
          <w:rStyle w:val="C3"/>
          <w:rFonts w:ascii="仿宋_GB2312" w:hAnsi="仿宋_GB2312"/>
          <w:sz w:val="32"/>
        </w:rPr>
      </w:pPr>
      <w:r>
        <w:rPr>
          <w:rStyle w:val="C3"/>
          <w:rFonts w:ascii="Microsoft YaHei UI" w:hAnsi="Microsoft YaHei UI"/>
          <w:sz w:val="32"/>
        </w:rPr>
        <w:t>列入市人民代表大会常务委员会会议议程的重大事项的议案或报告，在审议中有重大问题需进一步研究的，由常务委员会主任或常务委员会主任会议提出，经常务委员会全体会议同意，可以暂不付表决，交有关专门委员会进一步审议，提出审议报告，由下次或者以后的常务委员会会议进行审议和表决。</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提请市人民代表大会常务委员会会议审议的重大事项的议案或报告，应当在常务委员会会议召开</w:t>
      </w:r>
      <w:r>
        <w:rPr>
          <w:rStyle w:val="C3"/>
          <w:rFonts w:ascii="仿宋_GB2312" w:hAnsi="仿宋_GB2312"/>
          <w:sz w:val="32"/>
        </w:rPr>
        <w:t>20</w:t>
      </w:r>
      <w:r>
        <w:rPr>
          <w:rStyle w:val="C3"/>
          <w:rFonts w:ascii="Microsoft YaHei UI" w:hAnsi="Microsoft YaHei UI"/>
          <w:sz w:val="32"/>
        </w:rPr>
        <w:t>日前送常务委员会办公厅或有关专门委员会，并同时提交有关资料。</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市人民代表大会常务委员会依据本规定作出的决议、决定，市人民政府、市中级人民法院、市人民检察院应当将执行情况在规定时间内书面报告常务委员会。</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市人民政府、市中级人民法院、市人民检察院依据本规定向市人民代表大会常务委员会报告的重大事项，经常务委员会会议审议后不需作出决议、决定的，由常务委员会办公厅在会议闭会后</w:t>
      </w:r>
      <w:r>
        <w:rPr>
          <w:rStyle w:val="C3"/>
          <w:rFonts w:ascii="仿宋_GB2312" w:hAnsi="仿宋_GB2312"/>
          <w:sz w:val="32"/>
        </w:rPr>
        <w:t>10</w:t>
      </w:r>
      <w:r>
        <w:rPr>
          <w:rStyle w:val="C3"/>
          <w:rFonts w:ascii="Microsoft YaHei UI" w:hAnsi="Microsoft YaHei UI"/>
          <w:sz w:val="32"/>
        </w:rPr>
        <w:t>日内将审议意见反馈给报告的机关。</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市人民政府、市中级人民法院、市人民检察院依据本规定应当提请市人民代表大会常务委员会决定的重大事项自行作出决定的，由常务委员会责令其纠正或依法撤销其决定。</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本规定自发布之日起施行。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6"/>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7"/>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2"/>
    <w:rPr>
      <w:rFonts w:ascii="宋体" w:hAnsi="宋体"/>
      <w:b w:val="1"/>
      <w:sz w:val="48"/>
    </w:rPr>
  </w:style>
  <w:style w:type="character" w:styleId="C5">
    <w:name w:val="页眉 Char"/>
    <w:link w:val="P5"/>
    <w:rPr>
      <w:rFonts w:ascii="Calibri" w:hAnsi="Calibri"/>
      <w:sz w:val="18"/>
    </w:rPr>
  </w:style>
  <w:style w:type="character" w:styleId="C6">
    <w:name w:val="标题 2 Char"/>
    <w:link w:val="P3"/>
    <w:rPr>
      <w:rFonts w:ascii="宋体" w:hAnsi="宋体"/>
      <w:b w:val="1"/>
      <w:sz w:val="36"/>
    </w:rPr>
  </w:style>
  <w:style w:type="character" w:styleId="C7">
    <w:name w:val="页脚 Char"/>
    <w:link w:val="P6"/>
    <w:rPr>
      <w:rFonts w:ascii="Calibri" w:hAnsi="Calibri"/>
      <w:sz w:val="18"/>
    </w:rPr>
  </w:style>
  <w:style w:type="character" w:styleId="C8">
    <w:name w:val="标题 3 Char"/>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2024-08-28T01:34:27Z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