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B0057CE" Type="http://schemas.openxmlformats.org/officeDocument/2006/relationships/officeDocument" Target="/word/document.xml" /><Relationship Id="coreR4B0057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spacing w:lineRule="exact" w:line="576"/>
        <w:jc w:val="center"/>
        <w:rPr>
          <w:rStyle w:val="C3"/>
          <w:rFonts w:ascii="宋体" w:hAnsi="宋体"/>
          <w:sz w:val="32"/>
        </w:rPr>
      </w:pPr>
    </w:p>
    <w:p>
      <w:pPr>
        <w:pStyle w:val="P1"/>
        <w:rPr>
          <w:rStyle w:val="C3"/>
          <w:rFonts w:ascii="宋体" w:hAnsi="宋体"/>
          <w:sz w:val="32"/>
        </w:rPr>
      </w:pPr>
    </w:p>
    <w:p>
      <w:pPr>
        <w:pStyle w:val="P1"/>
        <w:jc w:val="center"/>
        <w:rPr>
          <w:rStyle w:val="C3"/>
          <w:rFonts w:ascii="宋体" w:hAnsi="宋体"/>
          <w:color w:val="000000"/>
          <w:sz w:val="44"/>
        </w:rPr>
      </w:pPr>
      <w:r>
        <w:rPr>
          <w:rStyle w:val="C3"/>
          <w:rFonts w:ascii="宋体" w:hAnsi="宋体"/>
          <w:color w:val="000000"/>
          <w:sz w:val="44"/>
        </w:rPr>
        <w:t>西藏自治区人民代表大会常务委员会关于严厉打击“赔命金”违法犯罪行为的决定</w:t>
      </w:r>
    </w:p>
    <w:p>
      <w:pPr>
        <w:pStyle w:val="P4"/>
        <w:spacing w:lineRule="exact" w:line="576"/>
        <w:jc w:val="center"/>
        <w:rPr>
          <w:rStyle w:val="C3"/>
          <w:rFonts w:ascii="宋体" w:hAnsi="宋体"/>
          <w:color w:val="000000"/>
          <w:sz w:val="32"/>
        </w:rPr>
      </w:pPr>
    </w:p>
    <w:p>
      <w:pPr>
        <w:pStyle w:val="P1"/>
        <w:widowControl w:val="1"/>
        <w:tabs>
          <w:tab w:val="left" w:pos="7920" w:leader="none"/>
        </w:tabs>
        <w:spacing w:lineRule="exact" w:line="576"/>
        <w:ind w:left="630" w:right="735"/>
        <w:rPr>
          <w:rStyle w:val="C3"/>
          <w:rFonts w:ascii="楷体_GB2312" w:hAnsi="楷体_GB2312"/>
          <w:sz w:val="32"/>
        </w:rPr>
      </w:pP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日西藏自治区第七届人民代表大会常务委员会第二十七次会议通过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日西藏自治区第九届人民代表大会常务委员会第十七次会议修正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日西藏自治区第十一届人民代表大会常务委员会第二次会议修正</w:t>
      </w:r>
      <w:r>
        <w:rPr>
          <w:rStyle w:val="C3"/>
          <w:rFonts w:ascii="楷体_GB2312" w:hAnsi="楷体_GB2312"/>
          <w:sz w:val="32"/>
        </w:rPr>
        <w:t>)</w:t>
      </w:r>
    </w:p>
    <w:p>
      <w:pPr>
        <w:pStyle w:val="P1"/>
        <w:widowControl w:val="1"/>
        <w:spacing w:lineRule="exact" w:line="576"/>
        <w:jc w:val="center"/>
        <w:rPr>
          <w:rStyle w:val="C3"/>
          <w:rFonts w:ascii="方正楷体简体" w:hAnsi="方正楷体简体"/>
          <w:color w:val="000000"/>
          <w:sz w:val="32"/>
        </w:rPr>
      </w:pPr>
    </w:p>
    <w:p>
      <w:pPr>
        <w:pStyle w:val="P1"/>
        <w:spacing w:lineRule="exact" w:line="576"/>
        <w:ind w:firstLine="640" w:right="15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是旧西藏政教合一封建农奴制法律的内容，</w:t>
      </w:r>
      <w:r>
        <w:rPr>
          <w:rStyle w:val="C3"/>
          <w:rFonts w:ascii="仿宋_GB2312" w:hAnsi="仿宋_GB2312"/>
          <w:sz w:val="32"/>
        </w:rPr>
        <w:t>1959</w:t>
      </w:r>
      <w:r>
        <w:rPr>
          <w:rStyle w:val="C3"/>
          <w:rFonts w:ascii="Microsoft YaHei UI" w:hAnsi="Microsoft YaHei UI"/>
          <w:sz w:val="32"/>
        </w:rPr>
        <w:t>年平叛、民主改革后，随着政教合一封建农奴制度的灭亡，已被彻底废止。但近年来，我区少数偏远地方相继出现了</w:t>
      </w:r>
      <w:r>
        <w:rPr>
          <w:rStyle w:val="C3"/>
          <w:rFonts w:ascii="仿宋_GB2312" w:hAnsi="仿宋_GB2312"/>
          <w:sz w:val="32"/>
        </w:rPr>
        <w:t>“</w:t>
      </w:r>
      <w:r>
        <w:rPr>
          <w:rStyle w:val="C3"/>
          <w:rFonts w:ascii="Microsoft YaHei UI" w:hAnsi="Microsoft YaHei UI"/>
          <w:sz w:val="32"/>
        </w:rPr>
        <w:t>帕措</w:t>
      </w:r>
      <w:r>
        <w:rPr>
          <w:rStyle w:val="C3"/>
          <w:rFonts w:ascii="仿宋_GB2312" w:hAnsi="仿宋_GB2312"/>
          <w:sz w:val="32"/>
        </w:rPr>
        <w:t>”</w:t>
      </w:r>
      <w:r>
        <w:rPr>
          <w:rStyle w:val="C3"/>
          <w:rFonts w:ascii="Microsoft YaHei UI" w:hAnsi="Microsoft YaHei UI"/>
          <w:sz w:val="32"/>
        </w:rPr>
        <w:t>等封建宗族势力和少数僧尼操纵、参与</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的违法犯罪活动。这种违法犯罪行为，干预司法、损害群众利益，危害基层政权、经济建设和局势稳定，严重破坏了社会主义法制的统一和尊严，是对国家司法权的严重侵害。为了坚决禁止、严厉打击</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违法犯罪活动，特作如下决定：</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一、坚决禁止、严厉打击</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违法犯罪行为，维护国家法律尊严。认清</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违法犯罪行为的社会危害性。对操纵、参与</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活动，欺压群众，敲诈勒索等违法犯罪行为，要集中力量，坚决打击、专项治理。</w:t>
      </w:r>
      <w:r>
        <w:rPr>
          <w:rStyle w:val="C3"/>
          <w:rFonts w:ascii="仿宋_GB2312" w:hAnsi="仿宋_GB2312"/>
          <w:sz w:val="32"/>
        </w:rPr>
        <w:br w:type="textWrapping"/>
        <w:t xml:space="preserve">    </w:t>
      </w:r>
      <w:r>
        <w:rPr>
          <w:rStyle w:val="C3"/>
          <w:rFonts w:ascii="Microsoft YaHei UI" w:hAnsi="Microsoft YaHei UI"/>
          <w:sz w:val="32"/>
        </w:rPr>
        <w:t>二、坚持打击少数、争取多数的原则。对参与</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违法犯罪活动的，区别不同情况，依法处理：</w:t>
      </w:r>
      <w:r>
        <w:rPr>
          <w:rStyle w:val="C3"/>
          <w:rFonts w:ascii="仿宋_GB2312" w:hAnsi="仿宋_GB2312"/>
          <w:sz w:val="32"/>
        </w:rPr>
        <w:br w:type="textWrapping"/>
        <w:t xml:space="preserve">    </w:t>
      </w:r>
      <w:r>
        <w:rPr>
          <w:rStyle w:val="C3"/>
          <w:rFonts w:ascii="Microsoft YaHei UI" w:hAnsi="Microsoft YaHei UI"/>
          <w:sz w:val="32"/>
        </w:rPr>
        <w:t>具有非法占有财物的目的，采取威胁、要挟等手段强行索要</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的，依照《中华人民共和国刑法》第二百七十四条敲诈勒索罪，追究刑事责任。</w:t>
      </w:r>
      <w:r>
        <w:rPr>
          <w:rStyle w:val="C3"/>
          <w:rFonts w:ascii="仿宋_GB2312" w:hAnsi="仿宋_GB2312"/>
          <w:sz w:val="32"/>
        </w:rPr>
        <w:br w:type="textWrapping"/>
        <w:t xml:space="preserve">    </w:t>
      </w:r>
      <w:r>
        <w:rPr>
          <w:rStyle w:val="C3"/>
          <w:rFonts w:ascii="Microsoft YaHei UI" w:hAnsi="Microsoft YaHei UI"/>
          <w:sz w:val="32"/>
        </w:rPr>
        <w:t>为掩盖犯罪事实、逃避法律制裁，被告人或其亲属贿买</w:t>
      </w:r>
      <w:r>
        <w:rPr>
          <w:rStyle w:val="C3"/>
          <w:rFonts w:ascii="仿宋_GB2312" w:hAnsi="仿宋_GB2312"/>
          <w:sz w:val="32"/>
        </w:rPr>
        <w:t>(</w:t>
      </w:r>
      <w:r>
        <w:rPr>
          <w:rStyle w:val="C3"/>
          <w:rFonts w:ascii="Microsoft YaHei UI" w:hAnsi="Microsoft YaHei UI"/>
          <w:sz w:val="32"/>
        </w:rPr>
        <w:t>赔偿</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，阻止证人作证或者指使他人作伪证；收受被告方的</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，帮助其毁灭、伪造证据，情节严重的，依照《中华人民共和国刑法》第三百零七条妨害作证罪，帮助毁灭、伪造证据罪分别追究刑事责任。</w:t>
      </w:r>
      <w:r>
        <w:rPr>
          <w:rStyle w:val="C3"/>
          <w:rFonts w:ascii="仿宋_GB2312" w:hAnsi="仿宋_GB2312"/>
          <w:sz w:val="32"/>
        </w:rPr>
        <w:br w:type="textWrapping"/>
        <w:t xml:space="preserve">    </w:t>
      </w:r>
      <w:r>
        <w:rPr>
          <w:rStyle w:val="C3"/>
          <w:rFonts w:ascii="Microsoft YaHei UI" w:hAnsi="Microsoft YaHei UI"/>
          <w:sz w:val="32"/>
        </w:rPr>
        <w:t>为帮助犯罪的人逃避法律制裁，收受其财物</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，为其提供隐藏处所、财物，帮助其逃匿或者作假证明包庇的，依照《中华人民共和国刑法》第三百一十条窝藏、包庇罪，追究刑事责任。</w:t>
      </w:r>
      <w:r>
        <w:rPr>
          <w:rStyle w:val="C3"/>
          <w:rFonts w:ascii="仿宋_GB2312" w:hAnsi="仿宋_GB2312"/>
          <w:sz w:val="32"/>
        </w:rPr>
        <w:br w:type="textWrapping"/>
        <w:t xml:space="preserve">    </w:t>
      </w:r>
      <w:r>
        <w:rPr>
          <w:rStyle w:val="C3"/>
          <w:rFonts w:ascii="Microsoft YaHei UI" w:hAnsi="Microsoft YaHei UI"/>
          <w:sz w:val="32"/>
        </w:rPr>
        <w:t>对参与</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违法活动，尚不构成犯罪的，依照《中华人民共和国治安管理处罚法》有关规定处罚。</w:t>
      </w:r>
      <w:r>
        <w:rPr>
          <w:rStyle w:val="C3"/>
          <w:rFonts w:ascii="仿宋_GB2312" w:hAnsi="仿宋_GB2312"/>
          <w:sz w:val="32"/>
        </w:rPr>
        <w:br w:type="textWrapping"/>
        <w:t xml:space="preserve">    </w:t>
      </w:r>
      <w:r>
        <w:rPr>
          <w:rStyle w:val="C3"/>
          <w:rFonts w:ascii="Microsoft YaHei UI" w:hAnsi="Microsoft YaHei UI"/>
          <w:sz w:val="32"/>
        </w:rPr>
        <w:t>三、对</w:t>
      </w:r>
      <w:r>
        <w:rPr>
          <w:rStyle w:val="C3"/>
          <w:rFonts w:ascii="仿宋_GB2312" w:hAnsi="仿宋_GB2312"/>
          <w:sz w:val="32"/>
        </w:rPr>
        <w:t>“</w:t>
      </w:r>
      <w:r>
        <w:rPr>
          <w:rStyle w:val="C3"/>
          <w:rFonts w:ascii="Microsoft YaHei UI" w:hAnsi="Microsoft YaHei UI"/>
          <w:sz w:val="32"/>
        </w:rPr>
        <w:t>帕措</w:t>
      </w:r>
      <w:r>
        <w:rPr>
          <w:rStyle w:val="C3"/>
          <w:rFonts w:ascii="仿宋_GB2312" w:hAnsi="仿宋_GB2312"/>
          <w:sz w:val="32"/>
        </w:rPr>
        <w:t>”</w:t>
      </w:r>
      <w:r>
        <w:rPr>
          <w:rStyle w:val="C3"/>
          <w:rFonts w:ascii="Microsoft YaHei UI" w:hAnsi="Microsoft YaHei UI"/>
          <w:sz w:val="32"/>
        </w:rPr>
        <w:t>等封建宗族势力和少数僧尼操纵、参与</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违法犯罪活动，干预行政、司法事务的，坚决依法打击。</w:t>
      </w:r>
      <w:r>
        <w:rPr>
          <w:rStyle w:val="C3"/>
          <w:rFonts w:ascii="仿宋_GB2312" w:hAnsi="仿宋_GB2312"/>
          <w:sz w:val="32"/>
        </w:rPr>
        <w:br w:type="textWrapping"/>
        <w:t xml:space="preserve">    </w:t>
      </w:r>
      <w:r>
        <w:rPr>
          <w:rStyle w:val="C3"/>
          <w:rFonts w:ascii="Microsoft YaHei UI" w:hAnsi="Microsoft YaHei UI"/>
          <w:sz w:val="32"/>
        </w:rPr>
        <w:t>四、审判、检察、公安机关在受理刑事案件时，应根据《中华人民共和国刑事诉讼法》第九十九条第一款</w:t>
      </w:r>
      <w:r>
        <w:rPr>
          <w:rStyle w:val="C3"/>
          <w:rFonts w:ascii="仿宋_GB2312" w:hAnsi="仿宋_GB2312"/>
          <w:sz w:val="32"/>
        </w:rPr>
        <w:t>“</w:t>
      </w:r>
      <w:r>
        <w:rPr>
          <w:rStyle w:val="C3"/>
          <w:rFonts w:ascii="Microsoft YaHei UI" w:hAnsi="Microsoft YaHei UI"/>
          <w:sz w:val="32"/>
        </w:rPr>
        <w:t>被害人由于被告人的犯罪行为而遭受物质损失的，在刑事诉讼过程中，有权提起附带民事诉讼</w:t>
      </w:r>
      <w:r>
        <w:rPr>
          <w:rStyle w:val="C3"/>
          <w:rFonts w:ascii="仿宋_GB2312" w:hAnsi="仿宋_GB2312"/>
          <w:sz w:val="32"/>
        </w:rPr>
        <w:t>”</w:t>
      </w:r>
      <w:r>
        <w:rPr>
          <w:rStyle w:val="C3"/>
          <w:rFonts w:ascii="Microsoft YaHei UI" w:hAnsi="Microsoft YaHei UI"/>
          <w:sz w:val="32"/>
        </w:rPr>
        <w:t>的规定，明确告知被害方享有刑事附带民事诉讼的权利，被害方放弃民事赔偿权利，索要</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的行为是违法的，一旦发生将依法制裁。</w:t>
      </w:r>
      <w:r>
        <w:rPr>
          <w:rStyle w:val="C3"/>
          <w:rFonts w:ascii="仿宋_GB2312" w:hAnsi="仿宋_GB2312"/>
          <w:sz w:val="32"/>
        </w:rPr>
        <w:br w:type="textWrapping"/>
        <w:t xml:space="preserve">    </w:t>
      </w:r>
      <w:r>
        <w:rPr>
          <w:rStyle w:val="C3"/>
          <w:rFonts w:ascii="Microsoft YaHei UI" w:hAnsi="Microsoft YaHei UI"/>
          <w:sz w:val="32"/>
        </w:rPr>
        <w:t>审判、检察、公安机关受理刑事案件时，对有</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违法犯罪行为的，依照本决定第二条的规定依法追究当事人的刑事、行政责任。</w:t>
      </w:r>
      <w:r>
        <w:rPr>
          <w:rStyle w:val="C3"/>
          <w:rFonts w:ascii="仿宋_GB2312" w:hAnsi="仿宋_GB2312"/>
          <w:sz w:val="32"/>
        </w:rPr>
        <w:br w:type="textWrapping"/>
        <w:t xml:space="preserve">    </w:t>
      </w:r>
      <w:r>
        <w:rPr>
          <w:rStyle w:val="C3"/>
          <w:rFonts w:ascii="Microsoft YaHei UI" w:hAnsi="Microsoft YaHei UI"/>
          <w:sz w:val="32"/>
        </w:rPr>
        <w:t>五、对索要或赔偿</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的违法犯罪行为，应当检举揭发，司法机关对检举揭发人应当予以保护。</w:t>
      </w:r>
      <w:r>
        <w:rPr>
          <w:rStyle w:val="C3"/>
          <w:rFonts w:ascii="仿宋_GB2312" w:hAnsi="仿宋_GB2312"/>
          <w:sz w:val="32"/>
        </w:rPr>
        <w:br w:type="textWrapping"/>
        <w:t xml:space="preserve">    </w:t>
      </w:r>
      <w:r>
        <w:rPr>
          <w:rStyle w:val="C3"/>
          <w:rFonts w:ascii="Microsoft YaHei UI" w:hAnsi="Microsoft YaHei UI"/>
          <w:sz w:val="32"/>
        </w:rPr>
        <w:t>六、各级人民政府和司法机关要进一步加强法制宣传教育，增强公民的法制观念和依法维护自身合法权益的意识，使公民认识到</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行为的违法性和危害性，</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是不能替代刑事法律制裁的，无论是否支付了</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对于构成犯罪的行为，仍然应当依法追究刑事责任；对行为人刑事责任的追究，也不能替代其应当承担的民事责任，在依法追究行为人的刑事责任时，被害方仍然可以对犯罪行为给自己造成的损害要求赔偿。通过法定程序进行的损害赔偿是受法律保护的，索要或赔偿</w:t>
      </w:r>
      <w:r>
        <w:rPr>
          <w:rStyle w:val="C3"/>
          <w:rFonts w:ascii="仿宋_GB2312" w:hAnsi="仿宋_GB2312"/>
          <w:sz w:val="32"/>
        </w:rPr>
        <w:t>“</w:t>
      </w:r>
      <w:r>
        <w:rPr>
          <w:rStyle w:val="C3"/>
          <w:rFonts w:ascii="Microsoft YaHei UI" w:hAnsi="Microsoft YaHei UI"/>
          <w:sz w:val="32"/>
        </w:rPr>
        <w:t>赔命金</w:t>
      </w:r>
      <w:r>
        <w:rPr>
          <w:rStyle w:val="C3"/>
          <w:rFonts w:ascii="仿宋_GB2312" w:hAnsi="仿宋_GB2312"/>
          <w:sz w:val="32"/>
        </w:rPr>
        <w:t>”</w:t>
      </w:r>
      <w:r>
        <w:rPr>
          <w:rStyle w:val="C3"/>
          <w:rFonts w:ascii="Microsoft YaHei UI" w:hAnsi="Microsoft YaHei UI"/>
          <w:sz w:val="32"/>
        </w:rPr>
        <w:t>的行为是违法的，不受法律保护。</w:t>
      </w:r>
    </w:p>
    <w:p>
      <w:pPr>
        <w:pStyle w:val="P1"/>
        <w:rPr>
          <w:rStyle w:val="C3"/>
        </w:rPr>
      </w:pPr>
    </w:p>
    <w:sectPr>
      <w:type w:val="nextPage"/>
      <w:pgSz w:w="11906" w:h="16838" w:code="0"/>
      <w:pgMar w:left="1588" w:right="1474" w:top="2098" w:bottom="1985"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w:next w:val="P2"/>
    <w:pPr>
      <w:widowControl w:val="0"/>
      <w:jc w:val="both"/>
    </w:pPr>
    <w:rPr>
      <w:rFonts w:ascii="方正仿宋简体" w:hAnsi="方正仿宋简体"/>
      <w:sz w:val="32"/>
    </w:rPr>
  </w:style>
  <w:style w:type="paragraph" w:styleId="P3">
    <w:name w:val="正文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tyle>
  <w:style w:type="paragraph" w:styleId="P5">
    <w:name w:val=" Char"/>
    <w:basedOn w:val="P1"/>
    <w:next w:val="P5"/>
    <w:pPr>
      <w:spacing w:lineRule="auto" w:line="60"/>
      <w:ind w:firstLine="200"/>
    </w:pPr>
    <w:rPr/>
  </w:style>
  <w:style w:type="paragraph" w:styleId="P6">
    <w:name w:val="普通(网站) New"/>
    <w:basedOn w:val="P1"/>
    <w:next w:val="P6"/>
    <w:pPr>
      <w:widowControl w:val="1"/>
      <w:spacing w:before="100" w:after="100" w:beforeAutospacing="1" w:afterAutospacing="1"/>
      <w:jc w:val="left"/>
    </w:pPr>
    <w:rPr>
      <w:rFonts w:ascii="宋体" w:hAnsi="宋体"/>
      <w:sz w:val="24"/>
    </w:rPr>
  </w:style>
  <w:style w:type="paragraph" w:styleId="P7">
    <w:name w:val="Normal (Web)"/>
    <w:basedOn w:val="P1"/>
    <w:next w:val="P7"/>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dc:creator>
  <dcterms:created xsi:type="dcterms:W3CDTF">2018-04-16T09:53:00Z</dcterms:created>
  <cp:lastModifiedBy>f1TZOF\f1TZOF-</cp:lastModifiedBy>
  <dcterms:modified xsi:type="dcterms:W3CDTF">2024-08-28T01:34:27Z</dcterms:modified>
  <cp:revision>3</cp:revision>
  <dc:title>藏常备〔2018〕3号  总第3号</dc:title>
</cp:coreProperties>
</file>