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026EDF" Type="http://schemas.openxmlformats.org/officeDocument/2006/relationships/officeDocument" Target="/word/document.xml" /><Relationship Id="coreR59026EDF" Type="http://schemas.openxmlformats.org/package/2006/relationships/metadata/core-properties" Target="/docProps/core.xml" /><Relationship Id="customR59026E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恩施土家族苗族自治州</w:t>
      </w:r>
    </w:p>
    <w:p>
      <w:pPr>
        <w:pStyle w:val="P1"/>
        <w:spacing w:lineRule="exact" w:line="589"/>
        <w:jc w:val="center"/>
        <w:rPr>
          <w:rStyle w:val="C3"/>
          <w:rFonts w:ascii="仿宋_GB2312" w:hAnsi="仿宋_GB2312"/>
          <w:sz w:val="32"/>
        </w:rPr>
      </w:pPr>
      <w:r>
        <w:rPr>
          <w:rStyle w:val="C3"/>
          <w:rFonts w:ascii="宋体" w:hAnsi="宋体"/>
          <w:sz w:val="44"/>
        </w:rPr>
        <w:t>传统村落和民族村寨保护条例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日恩施土家族苗族自治州第八届人民代表大会常务委员会第十六次会议通过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申报认定与规划编制</w:t>
      </w:r>
      <w:r>
        <w:rPr>
          <w:rStyle w:val="C3"/>
          <w:rFonts w:ascii="楷体_GB2312" w:hAnsi="楷体_GB2312"/>
          <w:sz w:val="32"/>
        </w:rPr>
        <w:t xml:space="preserve"> </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利用与发展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利用传统村落、民族村寨，维护村（居）民合法权益，传承弘扬优秀传统文化，推进乡村振兴，根据《中华人民共和国城乡规划法》《中华人民共和国文物保护法》《中华人民共和国非物质文化遗产法》等法律、法规的规定</w:t>
      </w:r>
      <w:r>
        <w:rPr>
          <w:rStyle w:val="C3"/>
          <w:rFonts w:ascii="仿宋_GB2312" w:hAnsi="仿宋_GB2312"/>
          <w:sz w:val="32"/>
        </w:rPr>
        <w:t>,</w:t>
      </w:r>
      <w:r>
        <w:rPr>
          <w:rStyle w:val="C3"/>
          <w:rFonts w:ascii="Microsoft YaHei UI" w:hAnsi="Microsoft YaHei UI"/>
          <w:sz w:val="32"/>
        </w:rPr>
        <w:t>结合本州实际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本州行政区域内传统村落、民族村寨的保护和利用适用本条例。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本条例所称传统村落，是指本州行政区域内列入县级以上名录并命名，拥有物质形态、非物质形态文化遗产，具有较高历史、文化、科学、艺术、生态等价值的自然村或者行政村。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民族村寨，是指本州行政区域内列入县级以上名录并命名的少数民族特色村寨，即少数民族人口相对聚居，且比例较高，生产生活功能较完备，少数民族文化特征及其聚落特征明显的自然村或者行政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传统村落、民族村寨保护和利用应当遵循保护优先、科学规划、合理利用、可持续发展的原则，实行政府主导、村民自治、社会参与的工作机制。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州人民政府负责本行政区域内传统村落、民族村寨保护和利用工作的统筹指导。县（市）人民政府负责本行政区域内传统村落、民族村寨的保护和利用工作。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人民政府应当将传统村落、民族村寨的保护和利用纳入国民经济和社会发展规划及城乡总体规划，将保护和利用资金列入本级财政预算，定期对本行政区域内传统村落、民族村寨保护和利用工作进行检查、考核，并将检查、考核情况向同级人民代表大会常务委员会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州、县（市）住房和城乡建设主管部门会同文化和旅游主管部门负责传统村落保护和利用的统一管理，民族事务主管部门会同文化和旅游主管部门负责民族村寨保护和利用的统一管理，其他相关部门根据各自职责负责传统村落、民族村寨的保护和利用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乡（镇）人民政府应当组织编制传统村落、民族村寨保护和利用规划并负责实施，依法履行传统村落、民族村寨文化保护、经济发展、环境整治、安全防范等工作职责。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传统村落、民族村寨所在地村（居）民委员会应当协助乡（镇）人民政府、街道办事处开展工作，组织、引导村（居）民参与保护和利用，发挥村规民约、居民公约在保护和利用中的作用。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州、县（市）、乡（镇）人民政府应当加强传统村落、民族村寨保护和利用的宣传教育，增强公众的保护和利用意识。</w:t>
      </w:r>
    </w:p>
    <w:p>
      <w:pPr>
        <w:pStyle w:val="P1"/>
        <w:spacing w:lineRule="exact" w:line="589"/>
        <w:rPr>
          <w:rStyle w:val="C3"/>
          <w:rFonts w:ascii="仿宋_GB2312" w:hAnsi="仿宋_GB2312"/>
          <w:sz w:val="32"/>
        </w:rPr>
      </w:pPr>
      <w:r>
        <w:rPr>
          <w:rStyle w:val="C3"/>
          <w:rFonts w:ascii="Microsoft YaHei UI" w:hAnsi="Microsoft YaHei UI"/>
          <w:sz w:val="32"/>
        </w:rPr>
        <w:t>州、县（市）、乡（镇）人民政府应当挖掘传统村落、民族村寨中传统文化、民族文化蕴含的优秀思想观念、人文精神、道德规范，培育文明乡风、良好家风、淳朴民风。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州、县（市）人民政府应当建立传统村落、民族村寨保护和利用专家咨询制度，传统村落、民族村寨申报、认定、规划、建设等重大事项应当组织专家开展咨询、论证。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州、县（市）人民政府应当鼓励企业、社会团体和个人以捐赠、赞助、投资等方式参与传统村落、民族村寨保护和利用。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对在传统村落、民族村寨保护和利用工作中做出突出贡献的单位、个人应当给予表彰和奖励。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申报认定与规划编制</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县（市）人民政府应当在本行政区域内组织开展传统村落、民族村寨资源普查，根据普查情况提出申报传统村落、民族村寨的建议名录。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县级传统村落、民族村寨由所在地乡（镇）人民政府、街道办事处根据建议名录申报。州级传统村落、民族村寨由县（市）人民政府从县级名录中申报。评审、认定、命名的具体办法由州人民政府组织制定。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国家级、省级传统村落、民族村寨的申报按照国务院、省人民政府有关部门的规定执行。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具备下列条件的自然村或者行政村，可以申报县级传统村落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（一）传统建筑体现一定历史时期风貌，主体结构及使用功能基本保存完好，具有地域、民族特色；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（二）村落选址、规划和建造具有历史、文化、科学、艺术、生态等价值，地形地貌、山川水系、街巷空间、生产生活配套设施等整体格局形态保存较完整；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（三）历史文化沉淀较深厚，拥有文物古迹或者非物质文化遗产；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（四）生态环境良好。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申报县级传统村落应当经村（居）民会议或者村民代表会议讨论同意。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具备下列条件的自然村或者行政村，可以申报县级民族村寨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（一）少数民族人口比例不低于百分之三十，村（居）民户数不低于二十户，特色民居比例不低于百分之三十且布局协调、风格典型；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（二）民族传统习俗保存较好，民族风情浓郁；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（三）民族民间传统艺术、工艺留存完好，或者保存有与民族传统文化以及重要历史事件、历史名人相关的文物古迹；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（四）生态环境良好。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申报县级民族村寨应当经村（居）民会议或者村民代表会议讨论同意。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乡（镇）人民政府应当自传统村落、民族村寨名录公布之日起一年内组织编制完成保护和利用规划，县（市）人民政府应当予以支持。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传统村落、民族村寨保护和利用规划应当与乡镇总体规划、村庄规划、土地利用规划等相衔接。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Microsoft YaHei UI" w:hAnsi="Microsoft YaHei UI"/>
          <w:sz w:val="32"/>
        </w:rPr>
        <w:t>　编制传统村落、民族村寨保护和利用规划应当包括下列内容：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（一）保护原则、保护范围、保护对象、保护要求；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（二）核心保护区、建设控制地带、风貌协调区的划定；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（三）传统格局、历史风貌保护；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（四）传统建筑、特色民居、历史环境要素、文物古迹保护；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（五）非物质文化遗产保护传承；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（六）基础设施、公共服务设施、生态环境改善；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（七）利用与发展项目；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编制传统村落、民族村寨保护和利用规划，可以根据实际情况预留允许建设区。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传统村落、民族村寨保护和利用规划应当经村（居）民会议或者村民代表会议讨论同意后公告，公告期不得少于三十日。公告期满报县（市）人民政府批准后公布实施。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依法批准的传统村落、民族村寨保护和利用规划不得擅自修改。因公共利益需要或者自然环境发生重大变化等原因确需修改的</w:t>
      </w:r>
      <w:r>
        <w:rPr>
          <w:rStyle w:val="C3"/>
          <w:rFonts w:ascii="仿宋_GB2312" w:hAnsi="仿宋_GB2312"/>
          <w:sz w:val="32"/>
        </w:rPr>
        <w:t>,</w:t>
      </w:r>
      <w:r>
        <w:rPr>
          <w:rStyle w:val="C3"/>
          <w:rFonts w:ascii="Microsoft YaHei UI" w:hAnsi="Microsoft YaHei UI"/>
          <w:sz w:val="32"/>
        </w:rPr>
        <w:t>按照前款规定执行。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保护与管理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传统村落、民族村寨的保护内容包括：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（一）具有地域、民族特色的整体风貌；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（二）传统建筑、特色民居、历史环境要素、文物古迹；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（三）非物质文化遗产及其相关的实物、场所；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（四）生态环境、人居环境；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县（市）人民政府住房和城乡建设、民族事务、文化和旅游主管部门应当按照一村一档要求，建立传统村落、民族村寨档案及信息管理系统。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县（市）人民政府应当在传统村落、民族村寨的主要出入口按照有关规定设置标识。任何单位和个人不得擅自设置、移动、涂改或者损毁标识。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传统村落、民族村寨保护范围包括核心保护区、建设控制地带、风貌协调区。保护范围内禁止下列行为：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（一）破坏传统建筑、特色民居、历史环境要素、文物古迹的；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（二）进行开山、采石、采砂、采矿等活动破坏村落整体风貌的；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（三）破坏非物质文化遗产及其相关的实物、场所的；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（四）擅自修建生产或者储存爆炸性、易燃性、放射性、毒害性、腐蚀性产品的工厂、仓库的；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（五）破坏森林、绿地、河道水系等自然景观的；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（六）造成生态环境损害的；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传统村落、民族村寨风貌协调区应当保护好现有的自然景观环境，不得影响建设控制地带、核心保护区轮廓线和主要视线通廊。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传统村落、民族村寨建设控制地带内新建、改建、修缮建（构）筑物，应当符合保护和利用规划，建筑形式、体量、高度、色彩应当与村落整体风貌相协调。</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传统村落、民族村寨核心保护区应当整体保护，保持传统格局、历史风貌和空间尺度。除保护和利用规划所确定的基础设施和公共服务设施外，不得擅自新建、扩建建（构）筑物，不得建造坟墓。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本条例施行前传统村落、民族村寨核心保护区内建成的破坏整体风貌的建（构）筑物和其他设施，应当逐步予以改造或者拆除。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传统村落、民族村寨保护范围内所有建设项目应当经自然资源和规划、住房和城乡建设等主管部门批准后实施，批准前应当征求有关专业机构或者专家的意见。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传统村落、民族村寨保护范围内新建、改建、修缮建（构）筑物应当遵守相关技术规范。国家、省未制定技术规范的，州人民政府应当根据需要组织制定技术规范。</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传统村落、民族村寨保护范围内新建、改建、修缮建（构）筑物的，鼓励优先采用传统工艺、技术和材料，可以采用有利于古建筑保护的新工艺、技术和材料。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州、县（市）、乡（镇）人民政府应当对传统村落、民族村寨传统工艺、技术的传承利用及传统材料的生产供应给予支持。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传统村落、民族村寨的村（居）民可以对保护范围内传统建筑、特色民居的日照、通风采光、节能保温、给排水、环境卫生等生活设施进行内部改造，完善生活功能，但不得破坏村落整体风貌。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传统村落、民族村寨保护范围内传统建筑、特色民居的改建、修缮由所有权人负责，县（市）人民政府可以给予适当补助。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传统村落、民族村寨保护范围内传统建筑、特色民居所有权人死亡无法确定继承人或者所有权人下落不明的，可以由村（居）民委员会代管。代管期间，所有权人申请认领的，应当予以返还。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州、县（市）、乡（镇）人民政府应当对传统村落、民族村寨非物质文化遗产予以保护，鼓励非物质文化遗产项目代表性传承人开展传承活动，支持村（居）民开展健康有益的民俗文化活动。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州、县（市）人民政府应当建立传统村落、民族村寨保护和利用专家学者、传统工匠、民间艺人等人才库，采取培训、授予称号、给予补助等措施加强专业人才队伍建设，支持专业人才进行传统村落、民族村寨文化遗产收集、整理、研究、传承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县（市）、乡（镇）人民政府应当负责传统村落、民族村寨的消防工作。县（市）人民政府应急管理部门应当定期开展消防安全检查，及时消除安全隐患，指导村（居）民委员会做好消防工作。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县（市）、乡（镇）人民政府应当组织相关部门开展传统村落、民族村寨地质灾害和白蚁防治工作。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州级、县级传统村落、民族村寨因保护不力致使其历史、文化、科学、艺术、生态等价值受到严重影响的，应当由批准机关予以警示并责成所在地下一级人民政府整改。自发出警示之日起</w:t>
      </w:r>
      <w:r>
        <w:rPr>
          <w:rStyle w:val="C3"/>
          <w:rFonts w:ascii="仿宋_GB2312" w:hAnsi="仿宋_GB2312"/>
          <w:sz w:val="32"/>
        </w:rPr>
        <w:t>6</w:t>
      </w:r>
      <w:r>
        <w:rPr>
          <w:rStyle w:val="C3"/>
          <w:rFonts w:ascii="Microsoft YaHei UI" w:hAnsi="Microsoft YaHei UI"/>
          <w:sz w:val="32"/>
        </w:rPr>
        <w:t>个月内未整改的，或者整改后未达到预期效果且拒不继续整改的，应当予以除名。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国家级、省级传统村落、民族村寨因保护不力致使其历史、文化、科学、艺术、生态等价值受到严重影响的，州人民政府应当予以警示并责成所在地县（市）人民政府整改，并将有关情况报送批准机关处理。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利用与发展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州、县（市）人民政府应当根据传统村落、民族村寨保护和利用的需要制定支持政策。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乡（镇）人民政府、街道办事处应当依据保护和利用规划，因地制宜谋划、申报、实施利用与发展项目，推进现代农业、文化旅游等绿色产业发展。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州、县（市）、乡（镇）人民政府应当鼓励和支持各类市场主体依法利用传统村落、民族村寨资源，发展多种形式的适度规模经营，开发休闲农业、乡村旅游、民俗文化等特色产品。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鼓励和支持传统村落、民族村寨所在地集体经济组织利用资源优势，发展村级集体经济。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鼓励和支持传统村落、民族村寨村（居）民利用空置土地、闲置住房等资源，发展乡村民宿等特色产业。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为了公共利益的需要，确需征收、占用传统村落、民族村寨保护范围内土地的，应当依法办理审核、审批手续，并给予补偿。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县（市）人民政府可以通过货币补偿或者产权置换的方式，依法征收传统村落、民族村寨保护范围内的传统建（构）筑物。传统建（构）筑物被征收的村民，符合条件的，可以在允许建设区内申请宅基地。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传统村落、民族村寨保护和利用应当保障村（居）民合法权益。因保护需要造成村（居）民合法权益受到损害的，应当协商给予补偿。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依法对传统村落、民族村寨进行开发利用的，应当尊重村（居）民意愿，并对权益分配等事项作出约定。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州、县（市）、乡（镇）人民政府应当鼓励和支持利用传统村落、民族村寨的传统建筑、特色民居设立博物馆、陈列馆、传习所、传统作坊、传统商铺、传统工艺示范基地等，开展交流、培训、研究、传承等活动，展示、传播文化遗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州、县（市）、乡（镇）人民政府应当加强传统村落、民族村寨道路、供水、供电、通信、绿化、公共照明、公共厕所、垃圾处理、污水处理等基础设施建设，完善教育、文化、医疗卫生、农村社区服务等公共服务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州、县（市）、乡（镇）人民政府应当利用互联网、物联网、人工智能等现代信息技术，推动传统村落、民族村寨的智慧乡村建设。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违反本条例规定的行为，法律、法规有规定的，从其规定。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擅自设置、移动、涂改或者损毁传统村落、民族村寨标识的，由县（市）人民政府住房和城乡建设、民族事务主管部门责令限期改正；逾期不改正的，处三百元以上三千元以下的罚款；造成损失的，依法承担赔偿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破坏传统建筑、特色民居的，由县（市）人民政府住房和城乡建设主管部门责令停止违法行为、限期恢复原状或者采取其他补救措施；有违法所得的，没收违法所得；造成严重后果的，对单位并处二十万元以上五十万元以下的罚款，对个人并处十万元以上二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在传统村落、民族村寨保护范围内进行开山、采石、采砂、采矿等活动破坏村落整体风貌的，由县（市）人民政府自然资源和规划主管部门或者其他有关行政主管部门依法责令停止违法行为，没收违法所得，限期恢复原状或者采取其他补救措施；情节严重的，并处一千元以上一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致使传统村落、民族村寨保护范围内历史环境要素、自然景观破坏的，由县（市）人民政府自然资源和规划主管部门责令停止违法行为、限期恢复原状或者采取其他补救措施，并处二万元以上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在传统村落、民族村寨保护范围内新建、改建、修缮建（构）筑物与传统村落整体风貌不相协调的，由县（市）人民政府住房和城乡建设主管部门责令停止违法行为，限期恢复原状或者采取其他补救措施；造成严重后果的，对单位并处五万元以上十万元以下的罚款，对个人并处一万元以上五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违反本条例规定，在传统村落、民族村寨核心保护区内擅自新建、改建建（构）筑物和其他设施的，由乡（镇）人民政府责令停止建设、限期改正；逾期不改正的，应当依法拆除。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违反本条例规定，在传统村落、民族村寨核心保护区内建造坟墓的，由县（市）人民政府民政主管部门责令限期拆除。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因保护不力致使传统村落、民族村寨被警示或者除名的，由上级人民政府、主管部门或者监察机关对直接负责的主管人员和其他直接责任人员，依法给予处分。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州、县（市）、乡（镇）人民政府、有关部门及其工作人员不履行本条例规定的职责，由其所在单位、主管部门、上级机关或者监察机关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（一）传统建筑，是指修建于</w:t>
      </w:r>
      <w:r>
        <w:rPr>
          <w:rStyle w:val="C3"/>
          <w:rFonts w:ascii="仿宋_GB2312" w:hAnsi="仿宋_GB2312"/>
          <w:sz w:val="32"/>
        </w:rPr>
        <w:t>1980</w:t>
      </w:r>
      <w:r>
        <w:rPr>
          <w:rStyle w:val="C3"/>
          <w:rFonts w:ascii="Microsoft YaHei UI" w:hAnsi="Microsoft YaHei UI"/>
          <w:sz w:val="32"/>
        </w:rPr>
        <w:t>年以前，使用传统材料、具有传统形制、运用传统工艺建造的民宅、祠堂、庙宇、牌坊、书院、名人故居等具有保护价值的建（构）筑物。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（二）特色民居，是指传承传统建筑风格，具有鲜明的地方特色和民族特色，彰显白墙青瓦镂花窗等建筑符号和干栏式建筑元素，与当地自然和人文环境相协调的居住建筑。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（三）历史环境要素，是指除文物古迹、传统建筑、特色民居之外，构成历史风貌的塔楼亭阁、墓碑石刻、路桥涵垣、井塘河道、古树名木等景物。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2019-11-26T01:36:00Z</dcterms:created>
  <cp:lastModifiedBy>f1TZOF\f1TZOF-</cp:lastModifiedBy>
  <cp:lastPrinted>2019-12-26T02:45:00Z</cp:lastPrinted>
  <dcterms:modified xsi:type="dcterms:W3CDTF">2024-08-28T01:34:30Z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