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950415" Type="http://schemas.openxmlformats.org/officeDocument/2006/relationships/officeDocument" Target="/word/document.xml" /><Relationship Id="coreR9950415" Type="http://schemas.openxmlformats.org/package/2006/relationships/metadata/core-properties" Target="/docProps/core.xml" /><Relationship Id="customR99504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spacing w:before="0" w:after="0"/>
        <w:ind w:firstLine="0" w:left="0" w:right="0"/>
        <w:jc w:val="center"/>
        <w:rPr>
          <w:rStyle w:val="C3"/>
          <w:rFonts w:ascii="方正小标宋简体" w:hAnsi="方正小标宋简体"/>
          <w:b w:val="1"/>
          <w:sz w:val="44"/>
        </w:rPr>
      </w:pPr>
      <w:r>
        <w:rPr>
          <w:rStyle w:val="C3"/>
          <w:rFonts w:ascii="Microsoft YaHei UI" w:hAnsi="Microsoft YaHei UI"/>
          <w:b w:val="1"/>
          <w:sz w:val="44"/>
        </w:rPr>
        <w:t>吉林省地方志工作条例</w:t>
      </w:r>
    </w:p>
    <w:p>
      <w:pPr>
        <w:pStyle w:val="P4"/>
        <w:rPr>
          <w:rStyle w:val="C3"/>
          <w:rFonts w:ascii="微软雅黑" w:hAnsi="微软雅黑"/>
          <w:b w:val="0"/>
          <w:i w:val="0"/>
          <w:color w:val="000000"/>
          <w:sz w:val="18"/>
          <w:shd w:val="clear" w:color="auto" w:fill="FFFFFF"/>
        </w:rPr>
      </w:pPr>
      <w:r>
        <w:rPr>
          <w:rStyle w:val="C3"/>
          <w:rFonts w:ascii="微软雅黑" w:hAnsi="微软雅黑"/>
          <w:b w:val="0"/>
          <w:i w:val="0"/>
          <w:color w:val="000000"/>
          <w:sz w:val="18"/>
          <w:shd w:val="clear" w:color="auto" w:fill="FFFFFF"/>
        </w:rPr>
        <w:t>　　</w:t>
      </w:r>
    </w:p>
    <w:p>
      <w:pPr>
        <w:pStyle w:val="P5"/>
        <w:keepNext w:val="0"/>
        <w:keepLines w:val="0"/>
        <w:spacing w:before="0" w:after="0"/>
        <w:ind w:firstLine="0" w:left="0" w:right="0"/>
        <w:jc w:val="left"/>
        <w:rPr>
          <w:rStyle w:val="C3"/>
          <w:rFonts w:ascii="楷体" w:hAnsi="楷体"/>
          <w:b w:val="0"/>
          <w:sz w:val="32"/>
        </w:rPr>
      </w:pPr>
      <w:r>
        <w:rPr>
          <w:rStyle w:val="C3"/>
          <w:rFonts w:ascii="楷体" w:hAnsi="楷体"/>
          <w:b w:val="0"/>
          <w:sz w:val="32"/>
        </w:rPr>
        <w:t xml:space="preserve">    （2006年12月1日吉林省第十届人民代表大会常务委员会第三十次会议通过  根据2019年5月30日吉林省第十三届人民代表大会常务委员会第十一次会议《吉林省人民代表大会常务委员会关于修改〈吉林省地方志工作条例〉的决定》修正）</w:t>
      </w:r>
    </w:p>
    <w:p>
      <w:pPr>
        <w:pStyle w:val="P4"/>
        <w:rPr>
          <w:rStyle w:val="C3"/>
          <w:rFonts w:ascii="仿宋" w:hAnsi="仿宋"/>
          <w:color w:val="000000"/>
          <w:sz w:val="32"/>
        </w:rPr>
      </w:pPr>
    </w:p>
    <w:p>
      <w:pPr>
        <w:pStyle w:val="P4"/>
        <w:ind w:firstLine="640"/>
        <w:rPr>
          <w:rStyle w:val="C3"/>
          <w:rFonts w:ascii="仿宋" w:hAnsi="仿宋"/>
          <w:color w:val="000000"/>
          <w:sz w:val="32"/>
        </w:rPr>
      </w:pPr>
      <w:r>
        <w:rPr>
          <w:rStyle w:val="C3"/>
          <w:rFonts w:ascii="黑体" w:hAnsi="黑体"/>
          <w:color w:val="000000"/>
          <w:sz w:val="32"/>
        </w:rPr>
        <w:t>第一条</w:t>
      </w:r>
      <w:r>
        <w:rPr>
          <w:rStyle w:val="C3"/>
          <w:rFonts w:ascii="仿宋" w:hAnsi="仿宋"/>
          <w:color w:val="000000"/>
          <w:sz w:val="32"/>
        </w:rPr>
        <w:t>　为了规范地方志的编纂、开发利用和管理，根据国务院《</w:t>
      </w:r>
      <w:r>
        <w:rPr>
          <w:rStyle w:val="C3"/>
          <w:rFonts w:ascii="仿宋" w:hAnsi="仿宋"/>
          <w:color w:val="000000"/>
          <w:sz w:val="32"/>
          <w:u w:val="none"/>
        </w:rPr>
        <w:t>地方志工作条例</w:t>
      </w:r>
      <w:r>
        <w:rPr>
          <w:rStyle w:val="C3"/>
          <w:rFonts w:ascii="仿宋" w:hAnsi="仿宋"/>
          <w:color w:val="000000"/>
          <w:sz w:val="32"/>
        </w:rPr>
        <w:t>》，结合本省实际情况，制定本条例。</w:t>
        <w:br w:type="textWrapping"/>
        <w:t>　　</w:t>
      </w:r>
      <w:r>
        <w:rPr>
          <w:rStyle w:val="C3"/>
          <w:rFonts w:ascii="黑体" w:hAnsi="黑体"/>
          <w:color w:val="000000"/>
          <w:sz w:val="32"/>
        </w:rPr>
        <w:t>第二条</w:t>
      </w:r>
      <w:r>
        <w:rPr>
          <w:rStyle w:val="C3"/>
          <w:rFonts w:ascii="仿宋" w:hAnsi="仿宋"/>
          <w:color w:val="000000"/>
          <w:sz w:val="32"/>
        </w:rPr>
        <w:t>　本条例所称地方志，是指记述特定行政区域内自然、政治、经济、文化和社会的历史与现状的资料性文献，包括地方志书、综合年鉴。</w:t>
        <w:br w:type="textWrapping"/>
        <w:t>　　</w:t>
      </w:r>
      <w:r>
        <w:rPr>
          <w:rStyle w:val="C3"/>
          <w:rFonts w:ascii="黑体" w:hAnsi="黑体"/>
          <w:color w:val="000000"/>
          <w:sz w:val="32"/>
        </w:rPr>
        <w:t>第三条</w:t>
      </w:r>
      <w:r>
        <w:rPr>
          <w:rStyle w:val="C3"/>
          <w:rFonts w:ascii="仿宋" w:hAnsi="仿宋"/>
          <w:color w:val="000000"/>
          <w:sz w:val="32"/>
        </w:rPr>
        <w:t>　本省行政区域内地方志编纂、开发利用和管理工作适用本条例。</w:t>
        <w:br w:type="textWrapping"/>
        <w:t>　　</w:t>
      </w:r>
      <w:r>
        <w:rPr>
          <w:rStyle w:val="C3"/>
          <w:rFonts w:ascii="黑体" w:hAnsi="黑体"/>
          <w:color w:val="000000"/>
          <w:sz w:val="32"/>
        </w:rPr>
        <w:t>第四条</w:t>
      </w:r>
      <w:r>
        <w:rPr>
          <w:rStyle w:val="C3"/>
          <w:rFonts w:ascii="仿宋" w:hAnsi="仿宋"/>
          <w:color w:val="000000"/>
          <w:sz w:val="32"/>
        </w:rPr>
        <w:t>　县级以上人民政府负责地方志工作的机构主管本行政区域的地方志工作，组织本条例的实施，履行下列职责：</w:t>
        <w:br w:type="textWrapping"/>
        <w:t>　　（一）制定地方志工作规划、规范和编纂方案；</w:t>
        <w:br w:type="textWrapping"/>
        <w:t>　　（二）组织、指导、监督和检查地方志工作；</w:t>
        <w:br w:type="textWrapping"/>
        <w:t>　　（三）统一组织编纂、出版以行政区域名称冠名的地方志书和综合年鉴；</w:t>
        <w:br w:type="textWrapping"/>
        <w:t>　　（四）对本行政区域内地方志书、综合年鉴的开发利用实行统一管理；</w:t>
        <w:br w:type="textWrapping"/>
        <w:t>　　（五）培训地方志专业人员；</w:t>
        <w:br w:type="textWrapping"/>
        <w:t>　　（六）征集、保存地方志文献和资料，整理旧志；</w:t>
        <w:br w:type="textWrapping"/>
        <w:t>　　（七）开展地方志理论研究；</w:t>
        <w:br w:type="textWrapping"/>
        <w:t>　　（八）完成本级人民政府和上级地方志工作机构交办的其他任务。</w:t>
        <w:br w:type="textWrapping"/>
        <w:t>　　</w:t>
      </w:r>
      <w:r>
        <w:rPr>
          <w:rStyle w:val="C3"/>
          <w:rFonts w:ascii="黑体" w:hAnsi="黑体"/>
          <w:color w:val="000000"/>
          <w:sz w:val="32"/>
        </w:rPr>
        <w:t>第五条</w:t>
      </w:r>
      <w:r>
        <w:rPr>
          <w:rStyle w:val="C3"/>
          <w:rFonts w:ascii="仿宋" w:hAnsi="仿宋"/>
          <w:color w:val="000000"/>
          <w:sz w:val="32"/>
        </w:rPr>
        <w:t>　县级以上人民政府应当将地方志工作纳入当地经济与社会发展总体规划，地方志工作所需经费列入本级财政预算。</w:t>
        <w:br w:type="textWrapping"/>
        <w:t>　　</w:t>
      </w:r>
      <w:r>
        <w:rPr>
          <w:rStyle w:val="C3"/>
          <w:rFonts w:ascii="黑体" w:hAnsi="黑体"/>
          <w:color w:val="000000"/>
          <w:sz w:val="32"/>
        </w:rPr>
        <w:t>第六条</w:t>
      </w:r>
      <w:r>
        <w:rPr>
          <w:rStyle w:val="C3"/>
          <w:rFonts w:ascii="仿宋" w:hAnsi="仿宋"/>
          <w:color w:val="000000"/>
          <w:sz w:val="32"/>
        </w:rPr>
        <w:t>　县级以上人民政府制定本行政区域地方志编纂的总体工作规划，并报上级人民政府负责地方志工作的机构备案。</w:t>
        <w:br w:type="textWrapping"/>
        <w:t>　　</w:t>
      </w:r>
      <w:r>
        <w:rPr>
          <w:rStyle w:val="C3"/>
          <w:rFonts w:ascii="黑体" w:hAnsi="黑体"/>
          <w:color w:val="000000"/>
          <w:sz w:val="32"/>
        </w:rPr>
        <w:t>第七条</w:t>
      </w:r>
      <w:r>
        <w:rPr>
          <w:rStyle w:val="C3"/>
          <w:rFonts w:ascii="仿宋" w:hAnsi="仿宋"/>
          <w:color w:val="000000"/>
          <w:sz w:val="32"/>
        </w:rPr>
        <w:t>　以县级以上行政区域名称冠名的地方志书、综合年鉴，由县级以上人民政府负责地方志工作的机构组织编纂，其他组织和个人不得编纂。</w:t>
      </w:r>
    </w:p>
    <w:p>
      <w:pPr>
        <w:pStyle w:val="P7"/>
        <w:keepNext w:val="0"/>
        <w:keepLines w:val="0"/>
        <w:spacing w:lineRule="auto" w:line="240" w:before="0" w:after="0"/>
        <w:ind w:firstLine="200" w:left="0" w:right="0"/>
        <w:rPr>
          <w:rStyle w:val="C3"/>
          <w:rFonts w:ascii="仿宋" w:hAnsi="仿宋"/>
          <w:sz w:val="32"/>
        </w:rPr>
      </w:pPr>
      <w:r>
        <w:rPr>
          <w:rStyle w:val="C3"/>
          <w:rFonts w:ascii="仿宋" w:hAnsi="仿宋"/>
          <w:sz w:val="32"/>
        </w:rPr>
        <w:t>鼓励机关、社会团体、企业事业单位、其他组织和个人编纂部门志、行业志等其他志书和年鉴。县级以上人民政府负责地方志工作的机构应当依照编纂单位或者个人的要求为其提供必要的编纂指导。</w:t>
      </w:r>
      <w:r>
        <w:rPr>
          <w:rStyle w:val="C3"/>
          <w:rFonts w:ascii="仿宋" w:hAnsi="仿宋"/>
          <w:color w:val="000000"/>
          <w:sz w:val="32"/>
        </w:rPr>
        <w:br w:type="textWrapping"/>
        <w:t>　　</w:t>
      </w:r>
      <w:r>
        <w:rPr>
          <w:rStyle w:val="C3"/>
          <w:rFonts w:ascii="黑体" w:hAnsi="黑体"/>
          <w:color w:val="000000"/>
          <w:sz w:val="32"/>
        </w:rPr>
        <w:t>第八条</w:t>
      </w:r>
      <w:r>
        <w:rPr>
          <w:rStyle w:val="C3"/>
          <w:rFonts w:ascii="仿宋" w:hAnsi="仿宋"/>
          <w:color w:val="000000"/>
          <w:sz w:val="32"/>
        </w:rPr>
        <w:t>　从事地方志编纂工作的人员应当经过专业培训。</w:t>
        <w:br w:type="textWrapping"/>
        <w:t>　　各级人民政府负责地方志工作的机构可聘请有关方面的专家、学者兼职从事地方志的编纂工作。</w:t>
        <w:br w:type="textWrapping"/>
        <w:t>　　</w:t>
      </w:r>
      <w:r>
        <w:rPr>
          <w:rStyle w:val="C3"/>
          <w:rFonts w:ascii="黑体" w:hAnsi="黑体"/>
          <w:color w:val="000000"/>
          <w:sz w:val="32"/>
        </w:rPr>
        <w:t>第九条</w:t>
      </w:r>
      <w:r>
        <w:rPr>
          <w:rStyle w:val="C3"/>
          <w:rFonts w:ascii="仿宋" w:hAnsi="仿宋"/>
          <w:color w:val="000000"/>
          <w:sz w:val="32"/>
        </w:rPr>
        <w:t>　</w:t>
      </w:r>
      <w:r>
        <w:rPr>
          <w:rStyle w:val="C3"/>
          <w:rFonts w:ascii="仿宋" w:hAnsi="仿宋"/>
          <w:sz w:val="32"/>
        </w:rPr>
        <w:t>县级以上地方志书应当每二十年左右编修一次。</w:t>
      </w:r>
    </w:p>
    <w:p>
      <w:pPr>
        <w:pStyle w:val="P7"/>
        <w:keepNext w:val="0"/>
        <w:keepLines w:val="0"/>
        <w:spacing w:lineRule="auto" w:line="240" w:before="0" w:after="0"/>
        <w:ind w:firstLine="200" w:left="0" w:right="0"/>
        <w:rPr>
          <w:rStyle w:val="C3"/>
          <w:rFonts w:ascii="仿宋" w:hAnsi="仿宋"/>
          <w:sz w:val="32"/>
        </w:rPr>
      </w:pPr>
      <w:r>
        <w:rPr>
          <w:rStyle w:val="C3"/>
          <w:rFonts w:ascii="仿宋" w:hAnsi="仿宋"/>
          <w:sz w:val="32"/>
        </w:rPr>
        <w:t>每一轮地方志书编修工作完成后，负责地方志工作的机构应当按照省地方志编纂总体方案启动新一轮地方志书的编修工作。</w:t>
      </w:r>
    </w:p>
    <w:p>
      <w:pPr>
        <w:pStyle w:val="P4"/>
        <w:ind w:firstLine="640"/>
        <w:rPr>
          <w:rStyle w:val="C3"/>
          <w:rFonts w:ascii="仿宋" w:hAnsi="仿宋"/>
          <w:color w:val="000000"/>
          <w:sz w:val="32"/>
        </w:rPr>
      </w:pPr>
      <w:r>
        <w:rPr>
          <w:rStyle w:val="C3"/>
          <w:rFonts w:ascii="仿宋" w:hAnsi="仿宋"/>
          <w:sz w:val="32"/>
        </w:rPr>
        <w:t>综合年鉴应当每年编辑，公开出版。</w:t>
      </w:r>
      <w:r>
        <w:rPr>
          <w:rStyle w:val="C3"/>
          <w:rFonts w:ascii="仿宋" w:hAnsi="仿宋"/>
          <w:color w:val="000000"/>
          <w:sz w:val="32"/>
        </w:rPr>
        <w:br w:type="textWrapping"/>
        <w:t>　　</w:t>
      </w:r>
      <w:r>
        <w:rPr>
          <w:rStyle w:val="C3"/>
          <w:rFonts w:ascii="黑体" w:hAnsi="黑体"/>
          <w:color w:val="000000"/>
          <w:sz w:val="32"/>
        </w:rPr>
        <w:t>第十条</w:t>
      </w:r>
      <w:r>
        <w:rPr>
          <w:rStyle w:val="C3"/>
          <w:rFonts w:ascii="仿宋" w:hAnsi="仿宋"/>
          <w:color w:val="000000"/>
          <w:sz w:val="32"/>
        </w:rPr>
        <w:t>　县级以上人民政府负责地方志工作的机构应当及时征集和保存包括纸介质、电子文档、音像制品、实物和口述资料在内的各种地方志资料，建立稳定长效的征集渠道和制度。</w:t>
      </w:r>
    </w:p>
    <w:p>
      <w:pPr>
        <w:pStyle w:val="P7"/>
        <w:keepNext w:val="0"/>
        <w:keepLines w:val="0"/>
        <w:spacing w:lineRule="auto" w:line="240" w:before="0" w:after="0"/>
        <w:ind w:firstLine="200" w:left="0" w:right="0"/>
        <w:rPr>
          <w:rStyle w:val="C3"/>
          <w:rFonts w:ascii="仿宋" w:hAnsi="仿宋"/>
          <w:sz w:val="32"/>
        </w:rPr>
      </w:pPr>
      <w:r>
        <w:rPr>
          <w:rStyle w:val="C3"/>
          <w:rFonts w:ascii="仿宋" w:hAnsi="仿宋"/>
          <w:sz w:val="32"/>
        </w:rPr>
        <w:t>县级以上人民政府负责地方志工作的机构可以向机关、社会团体、企业事业单位、其他组织以及个人征集、查阅、摘抄、复制有关地方志资料。地方志资料所有人或者持有人应当提供</w:t>
      </w:r>
      <w:r>
        <w:rPr>
          <w:rStyle w:val="C3"/>
          <w:rFonts w:ascii="仿宋" w:hAnsi="仿宋"/>
          <w:b w:val="0"/>
          <w:sz w:val="32"/>
        </w:rPr>
        <w:t>支持</w:t>
      </w:r>
      <w:r>
        <w:rPr>
          <w:rStyle w:val="C3"/>
          <w:rFonts w:ascii="仿宋" w:hAnsi="仿宋"/>
          <w:sz w:val="32"/>
        </w:rPr>
        <w:t>。</w:t>
      </w:r>
    </w:p>
    <w:p>
      <w:pPr>
        <w:pStyle w:val="P7"/>
        <w:keepNext w:val="0"/>
        <w:keepLines w:val="0"/>
        <w:spacing w:lineRule="auto" w:line="240" w:before="0" w:after="0"/>
        <w:ind w:firstLine="200" w:left="0" w:right="0"/>
        <w:rPr>
          <w:rStyle w:val="C3"/>
          <w:rFonts w:ascii="仿宋" w:hAnsi="仿宋"/>
          <w:sz w:val="32"/>
        </w:rPr>
      </w:pPr>
      <w:r>
        <w:rPr>
          <w:rStyle w:val="C3"/>
          <w:rFonts w:ascii="仿宋" w:hAnsi="仿宋"/>
          <w:sz w:val="32"/>
        </w:rPr>
        <w:t>涉及国家秘密、商业秘密和个人隐私以及不符合档案开放条件的地方志资料应当按照法律、法规的规定执行。</w:t>
      </w:r>
    </w:p>
    <w:p>
      <w:pPr>
        <w:pStyle w:val="P7"/>
        <w:keepNext w:val="0"/>
        <w:keepLines w:val="0"/>
        <w:spacing w:lineRule="auto" w:line="240" w:before="0" w:after="0"/>
        <w:ind w:firstLine="200" w:left="0" w:right="0"/>
        <w:rPr>
          <w:rStyle w:val="C3"/>
          <w:rFonts w:ascii="仿宋" w:hAnsi="仿宋"/>
          <w:sz w:val="32"/>
        </w:rPr>
      </w:pPr>
      <w:r>
        <w:rPr>
          <w:rStyle w:val="C3"/>
          <w:rFonts w:ascii="仿宋" w:hAnsi="仿宋"/>
          <w:sz w:val="32"/>
        </w:rPr>
        <w:t>地方志资料所有人或者持有人提供有关资料，可以获得适当报酬，但不得故意提供虚假资料。</w:t>
      </w:r>
      <w:r>
        <w:rPr>
          <w:rStyle w:val="C3"/>
          <w:rFonts w:ascii="仿宋" w:hAnsi="仿宋"/>
          <w:color w:val="000000"/>
          <w:sz w:val="32"/>
        </w:rPr>
        <w:br w:type="textWrapping"/>
        <w:t>　　</w:t>
      </w:r>
      <w:r>
        <w:rPr>
          <w:rStyle w:val="C3"/>
          <w:rFonts w:ascii="黑体" w:hAnsi="黑体"/>
          <w:color w:val="000000"/>
          <w:sz w:val="32"/>
        </w:rPr>
        <w:t>第十一条</w:t>
      </w:r>
      <w:r>
        <w:rPr>
          <w:rStyle w:val="C3"/>
          <w:rFonts w:ascii="仿宋" w:hAnsi="仿宋"/>
          <w:color w:val="000000"/>
          <w:sz w:val="32"/>
        </w:rPr>
        <w:t>　承担地方志编纂任务的单位，应当在人员、经费和物质条件上给予保障，并按照规定完成地方志编纂任务。</w:t>
        <w:br w:type="textWrapping"/>
        <w:t>　　</w:t>
      </w:r>
      <w:r>
        <w:rPr>
          <w:rStyle w:val="C3"/>
          <w:rFonts w:ascii="黑体" w:hAnsi="黑体"/>
          <w:color w:val="000000"/>
          <w:sz w:val="32"/>
        </w:rPr>
        <w:t>第十二条</w:t>
      </w:r>
      <w:r>
        <w:rPr>
          <w:rStyle w:val="C3"/>
          <w:rFonts w:ascii="仿宋" w:hAnsi="仿宋"/>
          <w:color w:val="000000"/>
          <w:sz w:val="32"/>
        </w:rPr>
        <w:t>　地方志书、综合年鉴出版后三个月内，应当报送上级人民政府负责地方志工作的机构备案。</w:t>
        <w:br w:type="textWrapping"/>
        <w:t>　　为执行本单位地方志编纂任务或者利用本单位的物质技术条件收集、积累的地方志资料，应当依法移交本级国家档案馆或者方志馆保存、管理，任何单位和个人不得将其散失、损毁或者据为己有。</w:t>
        <w:br w:type="textWrapping"/>
        <w:t>　　</w:t>
      </w:r>
      <w:r>
        <w:rPr>
          <w:rStyle w:val="C3"/>
          <w:rFonts w:ascii="黑体" w:hAnsi="黑体"/>
          <w:color w:val="000000"/>
          <w:sz w:val="32"/>
        </w:rPr>
        <w:t>第十三条</w:t>
      </w:r>
      <w:r>
        <w:rPr>
          <w:rStyle w:val="C3"/>
          <w:rFonts w:ascii="仿宋" w:hAnsi="仿宋"/>
          <w:color w:val="000000"/>
          <w:sz w:val="32"/>
        </w:rPr>
        <w:t>　</w:t>
      </w:r>
      <w:r>
        <w:rPr>
          <w:rStyle w:val="C3"/>
          <w:rFonts w:ascii="仿宋" w:hAnsi="仿宋"/>
          <w:b w:val="0"/>
          <w:sz w:val="32"/>
          <w:u w:val="none"/>
        </w:rPr>
        <w:t>自治州、自治县</w:t>
      </w:r>
      <w:r>
        <w:rPr>
          <w:rStyle w:val="C3"/>
          <w:rFonts w:ascii="仿宋" w:hAnsi="仿宋"/>
          <w:color w:val="000000"/>
          <w:sz w:val="32"/>
        </w:rPr>
        <w:t>应当有少数民族的专家、学者参加地方志书的编纂工作。</w:t>
        <w:br w:type="textWrapping"/>
        <w:t>　　</w:t>
      </w:r>
      <w:r>
        <w:rPr>
          <w:rStyle w:val="C3"/>
          <w:rFonts w:ascii="仿宋" w:hAnsi="仿宋"/>
          <w:b w:val="0"/>
          <w:sz w:val="32"/>
          <w:u w:val="none"/>
        </w:rPr>
        <w:t>自治州、自治县可以出版国家通用语言文字和</w:t>
      </w:r>
      <w:r>
        <w:rPr>
          <w:rStyle w:val="C3"/>
          <w:rFonts w:ascii="仿宋" w:hAnsi="仿宋"/>
          <w:b w:val="0"/>
          <w:i w:val="0"/>
          <w:color w:val="000000"/>
          <w:sz w:val="32"/>
          <w:shd w:val="clear" w:color="auto" w:fill="FFFFFF"/>
        </w:rPr>
        <w:t>当地通用的</w:t>
      </w:r>
      <w:r>
        <w:rPr>
          <w:rStyle w:val="C3"/>
          <w:rFonts w:ascii="仿宋" w:hAnsi="仿宋"/>
          <w:b w:val="0"/>
          <w:sz w:val="32"/>
          <w:u w:val="none"/>
        </w:rPr>
        <w:t>少数民族语言文字两种版本的地方志书。</w:t>
      </w:r>
      <w:r>
        <w:rPr>
          <w:rStyle w:val="C3"/>
          <w:rFonts w:ascii="仿宋" w:hAnsi="仿宋"/>
          <w:color w:val="000000"/>
          <w:sz w:val="32"/>
        </w:rPr>
        <w:br w:type="textWrapping"/>
        <w:t>　　</w:t>
      </w:r>
      <w:r>
        <w:rPr>
          <w:rStyle w:val="C3"/>
          <w:rFonts w:ascii="黑体" w:hAnsi="黑体"/>
          <w:color w:val="000000"/>
          <w:sz w:val="32"/>
        </w:rPr>
        <w:t>第十四条</w:t>
      </w:r>
      <w:r>
        <w:rPr>
          <w:rStyle w:val="C3"/>
          <w:rFonts w:ascii="仿宋" w:hAnsi="仿宋"/>
          <w:color w:val="000000"/>
          <w:sz w:val="32"/>
        </w:rPr>
        <w:t>　</w:t>
      </w:r>
      <w:r>
        <w:rPr>
          <w:rStyle w:val="C3"/>
          <w:rFonts w:ascii="仿宋" w:hAnsi="仿宋"/>
          <w:sz w:val="32"/>
        </w:rPr>
        <w:t>以县级以上行政区域名称冠名的地方志书、综合年鉴，实行初审、复审和终审三审制。</w:t>
      </w:r>
    </w:p>
    <w:p>
      <w:pPr>
        <w:pStyle w:val="P7"/>
        <w:keepNext w:val="0"/>
        <w:keepLines w:val="0"/>
        <w:spacing w:lineRule="auto" w:line="240" w:before="0" w:after="0"/>
        <w:ind w:firstLine="200" w:left="0" w:right="0"/>
        <w:rPr>
          <w:rStyle w:val="C3"/>
          <w:rFonts w:ascii="仿宋" w:hAnsi="仿宋"/>
          <w:sz w:val="32"/>
        </w:rPr>
      </w:pPr>
      <w:r>
        <w:rPr>
          <w:rStyle w:val="C3"/>
          <w:rFonts w:ascii="仿宋" w:hAnsi="仿宋"/>
          <w:sz w:val="32"/>
        </w:rPr>
        <w:t>地方志书、综合年鉴的初审、复审和终审的主体、程序等由省人民政府规定。</w:t>
      </w:r>
    </w:p>
    <w:p>
      <w:pPr>
        <w:pStyle w:val="P7"/>
        <w:keepNext w:val="0"/>
        <w:keepLines w:val="0"/>
        <w:spacing w:lineRule="auto" w:line="240" w:before="0" w:after="0"/>
        <w:ind w:firstLine="200" w:left="0" w:right="0"/>
        <w:rPr>
          <w:rStyle w:val="C3"/>
          <w:rFonts w:ascii="仿宋" w:hAnsi="仿宋"/>
          <w:sz w:val="32"/>
        </w:rPr>
      </w:pPr>
      <w:r>
        <w:rPr>
          <w:rStyle w:val="C3"/>
          <w:rFonts w:ascii="仿宋" w:hAnsi="仿宋"/>
          <w:sz w:val="32"/>
        </w:rPr>
        <w:t>未经终审机构批准，任何单位和个人不得擅自修改终审机构验收通过的地方志书和综合年鉴。</w:t>
      </w:r>
    </w:p>
    <w:p>
      <w:pPr>
        <w:pStyle w:val="P4"/>
        <w:ind w:firstLine="640"/>
        <w:rPr>
          <w:rStyle w:val="C3"/>
          <w:rFonts w:ascii="仿宋" w:hAnsi="仿宋"/>
          <w:color w:val="000000"/>
          <w:sz w:val="32"/>
        </w:rPr>
      </w:pPr>
      <w:r>
        <w:rPr>
          <w:rStyle w:val="C3"/>
          <w:rFonts w:ascii="仿宋" w:hAnsi="仿宋"/>
          <w:sz w:val="32"/>
        </w:rPr>
        <w:t>地方志书和综合年鉴经验收通过后方可出版。</w:t>
      </w:r>
      <w:r>
        <w:rPr>
          <w:rStyle w:val="C3"/>
          <w:rFonts w:ascii="仿宋" w:hAnsi="仿宋"/>
          <w:color w:val="000000"/>
          <w:sz w:val="32"/>
        </w:rPr>
        <w:br w:type="textWrapping"/>
        <w:t>　　</w:t>
      </w:r>
      <w:r>
        <w:rPr>
          <w:rStyle w:val="C3"/>
          <w:rFonts w:ascii="黑体" w:hAnsi="黑体"/>
          <w:color w:val="000000"/>
          <w:sz w:val="32"/>
        </w:rPr>
        <w:t>第十五条</w:t>
      </w:r>
      <w:r>
        <w:rPr>
          <w:rStyle w:val="C3"/>
          <w:rFonts w:ascii="仿宋" w:hAnsi="仿宋"/>
          <w:color w:val="000000"/>
          <w:sz w:val="32"/>
        </w:rPr>
        <w:t>　编纂出版地方志书、综合年鉴，要达到资料翔实准确，分类科学、领属得当，地方特色突出，审校、装祯、印刷符合出版要求的质量标准。</w:t>
        <w:br w:type="textWrapping"/>
        <w:t>　　</w:t>
      </w:r>
      <w:r>
        <w:rPr>
          <w:rStyle w:val="C3"/>
          <w:rFonts w:ascii="黑体" w:hAnsi="黑体"/>
          <w:color w:val="000000"/>
          <w:sz w:val="32"/>
        </w:rPr>
        <w:t>第十六条</w:t>
      </w:r>
      <w:r>
        <w:rPr>
          <w:rStyle w:val="C3"/>
          <w:rFonts w:ascii="仿宋" w:hAnsi="仿宋"/>
          <w:color w:val="000000"/>
          <w:sz w:val="32"/>
        </w:rPr>
        <w:t>　</w:t>
      </w:r>
      <w:r>
        <w:rPr>
          <w:rStyle w:val="C3"/>
          <w:rFonts w:ascii="仿宋" w:hAnsi="仿宋"/>
          <w:sz w:val="32"/>
        </w:rPr>
        <w:t>负责地方志工作的机构应当听取机关、社会团体、企业事业单位、其他组织以及个人对地方志编纂工作的意见、建议。地方志编纂工作涉及重要争议事项的，除应当征求有关专家、学者的意见外，还应当向上一级地方志工作机构和同级人民政府报告。</w:t>
      </w:r>
    </w:p>
    <w:p>
      <w:pPr>
        <w:pStyle w:val="P7"/>
        <w:keepNext w:val="0"/>
        <w:keepLines w:val="0"/>
        <w:spacing w:lineRule="auto" w:line="240" w:before="0" w:after="0"/>
        <w:ind w:firstLine="200" w:left="0" w:right="0"/>
        <w:rPr>
          <w:rStyle w:val="C3"/>
          <w:rFonts w:ascii="仿宋" w:hAnsi="仿宋"/>
          <w:sz w:val="32"/>
          <w:shd w:val="clear" w:color="auto" w:fill="FFFFFF"/>
        </w:rPr>
      </w:pPr>
      <w:r>
        <w:rPr>
          <w:rStyle w:val="C3"/>
          <w:rFonts w:ascii="黑体" w:hAnsi="黑体"/>
          <w:color w:val="000000"/>
          <w:sz w:val="32"/>
        </w:rPr>
        <w:t>第十七条</w:t>
      </w:r>
      <w:r>
        <w:rPr>
          <w:rStyle w:val="C3"/>
          <w:rFonts w:ascii="仿宋" w:hAnsi="仿宋"/>
          <w:sz w:val="32"/>
          <w:shd w:val="clear" w:color="auto" w:fill="FFFFFF"/>
        </w:rPr>
        <w:t xml:space="preserve">  省、市（州）应当建立方志馆，县（市、区）应当建立存放地方志资料的资料室，有条件的应当建立方志馆。</w:t>
      </w:r>
    </w:p>
    <w:p>
      <w:pPr>
        <w:pStyle w:val="P4"/>
        <w:ind w:firstLine="640"/>
        <w:rPr>
          <w:rStyle w:val="C3"/>
          <w:rFonts w:ascii="仿宋" w:hAnsi="仿宋"/>
          <w:color w:val="000000"/>
          <w:sz w:val="32"/>
        </w:rPr>
      </w:pPr>
      <w:r>
        <w:rPr>
          <w:rStyle w:val="C3"/>
          <w:rFonts w:ascii="仿宋" w:hAnsi="仿宋"/>
          <w:sz w:val="32"/>
          <w:shd w:val="clear" w:color="auto" w:fill="FFFFFF"/>
        </w:rPr>
        <w:t>鼓励单位和个人向方志馆和资料室提供地方文献、资料和实物，提供者可以获得适当</w:t>
      </w:r>
      <w:r>
        <w:rPr>
          <w:rStyle w:val="C3"/>
          <w:rFonts w:ascii="仿宋" w:hAnsi="仿宋"/>
          <w:b w:val="0"/>
          <w:sz w:val="32"/>
          <w:shd w:val="clear" w:color="auto" w:fill="FFFFFF"/>
        </w:rPr>
        <w:t>报酬</w:t>
      </w:r>
      <w:r>
        <w:rPr>
          <w:rStyle w:val="C3"/>
          <w:rFonts w:ascii="仿宋" w:hAnsi="仿宋"/>
          <w:sz w:val="32"/>
          <w:shd w:val="clear" w:color="auto" w:fill="FFFFFF"/>
        </w:rPr>
        <w:t>。</w:t>
      </w:r>
    </w:p>
    <w:p>
      <w:pPr>
        <w:pStyle w:val="P4"/>
        <w:ind w:firstLine="640"/>
        <w:rPr>
          <w:rStyle w:val="C3"/>
          <w:rFonts w:ascii="仿宋" w:hAnsi="仿宋"/>
          <w:color w:val="000000"/>
          <w:sz w:val="32"/>
        </w:rPr>
      </w:pPr>
      <w:r>
        <w:rPr>
          <w:rStyle w:val="C3"/>
          <w:rFonts w:ascii="黑体" w:hAnsi="黑体"/>
          <w:color w:val="000000"/>
          <w:sz w:val="32"/>
        </w:rPr>
        <w:t>第十八条</w:t>
      </w:r>
      <w:r>
        <w:rPr>
          <w:rStyle w:val="C3"/>
          <w:rFonts w:ascii="仿宋" w:hAnsi="仿宋"/>
          <w:color w:val="000000"/>
          <w:sz w:val="32"/>
        </w:rPr>
        <w:t>　县级以上人民政府负责地方志工作的机构应当统一制定地方志资源开发规划，多渠道筹集资金，整合开发力量，实行立项开发制度。</w:t>
      </w:r>
    </w:p>
    <w:p>
      <w:pPr>
        <w:pStyle w:val="P7"/>
        <w:keepNext w:val="0"/>
        <w:keepLines w:val="0"/>
        <w:spacing w:lineRule="auto" w:line="240" w:before="0" w:after="0"/>
        <w:ind w:firstLine="200" w:left="0" w:right="0"/>
        <w:rPr>
          <w:rStyle w:val="C3"/>
          <w:rFonts w:ascii="仿宋" w:hAnsi="仿宋"/>
          <w:sz w:val="32"/>
        </w:rPr>
      </w:pPr>
      <w:r>
        <w:rPr>
          <w:rStyle w:val="C3"/>
          <w:rFonts w:ascii="仿宋" w:hAnsi="仿宋"/>
          <w:sz w:val="32"/>
        </w:rPr>
        <w:t>项目的立项评审和结项验收，应当聘请有关方面的专家、学者参加。</w:t>
      </w:r>
      <w:r>
        <w:rPr>
          <w:rStyle w:val="C3"/>
          <w:rFonts w:ascii="仿宋" w:hAnsi="仿宋"/>
          <w:color w:val="000000"/>
          <w:sz w:val="32"/>
        </w:rPr>
        <w:br w:type="textWrapping"/>
        <w:t>　　</w:t>
      </w:r>
      <w:r>
        <w:rPr>
          <w:rStyle w:val="C3"/>
          <w:rFonts w:ascii="黑体" w:hAnsi="黑体"/>
          <w:color w:val="000000"/>
          <w:sz w:val="32"/>
        </w:rPr>
        <w:t>第十九条</w:t>
      </w:r>
      <w:r>
        <w:rPr>
          <w:rStyle w:val="C3"/>
          <w:rFonts w:ascii="仿宋" w:hAnsi="仿宋"/>
          <w:color w:val="000000"/>
          <w:sz w:val="32"/>
        </w:rPr>
        <w:t>　</w:t>
      </w:r>
      <w:r>
        <w:rPr>
          <w:rStyle w:val="C3"/>
          <w:rFonts w:ascii="仿宋" w:hAnsi="仿宋"/>
          <w:sz w:val="32"/>
        </w:rPr>
        <w:t>县级以上人民政府负责地方志工作的机构应当积极开拓用志途径，建立地情信息网站，出版地方志书、综合年鉴的电子出版物，加强地方志文献的信息化建设。</w:t>
      </w:r>
    </w:p>
    <w:p>
      <w:pPr>
        <w:pStyle w:val="P7"/>
        <w:keepNext w:val="0"/>
        <w:keepLines w:val="0"/>
        <w:spacing w:lineRule="auto" w:line="240" w:before="0" w:after="0"/>
        <w:ind w:firstLine="200" w:left="0" w:right="0"/>
        <w:rPr>
          <w:rStyle w:val="C3"/>
          <w:rFonts w:ascii="仿宋" w:hAnsi="仿宋"/>
          <w:sz w:val="32"/>
        </w:rPr>
      </w:pPr>
      <w:r>
        <w:rPr>
          <w:rStyle w:val="C3"/>
          <w:rFonts w:ascii="仿宋" w:hAnsi="仿宋"/>
          <w:sz w:val="32"/>
        </w:rPr>
        <w:t>地情信息网站应当向社会免费提供服务；方志馆应当向社会免费开放。</w:t>
      </w:r>
      <w:r>
        <w:rPr>
          <w:rStyle w:val="C3"/>
          <w:rFonts w:ascii="仿宋" w:hAnsi="仿宋"/>
          <w:color w:val="000000"/>
          <w:sz w:val="32"/>
        </w:rPr>
        <w:br w:type="textWrapping"/>
        <w:t>　　</w:t>
      </w:r>
      <w:r>
        <w:rPr>
          <w:rStyle w:val="C3"/>
          <w:rFonts w:ascii="黑体" w:hAnsi="黑体"/>
          <w:color w:val="000000"/>
          <w:sz w:val="32"/>
        </w:rPr>
        <w:t>第二十条</w:t>
      </w:r>
      <w:r>
        <w:rPr>
          <w:rStyle w:val="C3"/>
          <w:rFonts w:ascii="仿宋" w:hAnsi="仿宋"/>
          <w:color w:val="000000"/>
          <w:sz w:val="32"/>
        </w:rPr>
        <w:t>　</w:t>
      </w:r>
      <w:r>
        <w:rPr>
          <w:rStyle w:val="C3"/>
          <w:rFonts w:ascii="仿宋" w:hAnsi="仿宋"/>
          <w:b w:val="0"/>
          <w:i w:val="0"/>
          <w:color w:val="000000"/>
          <w:sz w:val="32"/>
          <w:shd w:val="clear" w:color="auto" w:fill="FFFFFF"/>
        </w:rPr>
        <w:t>地方</w:t>
      </w:r>
      <w:r>
        <w:rPr>
          <w:rStyle w:val="C3"/>
          <w:rFonts w:ascii="仿宋" w:hAnsi="仿宋"/>
          <w:b w:val="0"/>
          <w:sz w:val="32"/>
        </w:rPr>
        <w:t>志书、综合年鉴</w:t>
      </w:r>
      <w:r>
        <w:rPr>
          <w:rStyle w:val="C3"/>
          <w:rFonts w:ascii="仿宋" w:hAnsi="仿宋"/>
          <w:b w:val="0"/>
          <w:i w:val="0"/>
          <w:color w:val="000000"/>
          <w:sz w:val="32"/>
          <w:shd w:val="clear" w:color="auto" w:fill="FFFFFF"/>
        </w:rPr>
        <w:t>的著作权由地方志工作机构享有，参与编纂的人员享有署名权</w:t>
      </w:r>
      <w:r>
        <w:rPr>
          <w:rStyle w:val="C3"/>
          <w:rFonts w:ascii="仿宋" w:hAnsi="仿宋"/>
          <w:b w:val="0"/>
          <w:color w:val="000000"/>
          <w:sz w:val="32"/>
        </w:rPr>
        <w:t>。组织编纂的地方志工作机构依照国家有关规定</w:t>
      </w:r>
      <w:r>
        <w:rPr>
          <w:rStyle w:val="C3"/>
          <w:rFonts w:ascii="仿宋" w:hAnsi="仿宋"/>
          <w:b w:val="0"/>
          <w:sz w:val="32"/>
        </w:rPr>
        <w:t>付给</w:t>
      </w:r>
      <w:r>
        <w:rPr>
          <w:rStyle w:val="C3"/>
          <w:rFonts w:ascii="仿宋" w:hAnsi="仿宋"/>
          <w:b w:val="0"/>
          <w:color w:val="000000"/>
          <w:sz w:val="32"/>
        </w:rPr>
        <w:t>编纂人员适当的</w:t>
      </w:r>
      <w:r>
        <w:rPr>
          <w:rStyle w:val="C3"/>
          <w:rFonts w:ascii="仿宋" w:hAnsi="仿宋"/>
          <w:b w:val="0"/>
          <w:i w:val="0"/>
          <w:color w:val="000000"/>
          <w:sz w:val="32"/>
          <w:shd w:val="clear" w:color="auto" w:fill="FFFFFF"/>
        </w:rPr>
        <w:t>稿酬或者报酬，具体办法由省人民政府制定。</w:t>
      </w:r>
      <w:r>
        <w:rPr>
          <w:rStyle w:val="C3"/>
          <w:rFonts w:ascii="仿宋" w:hAnsi="仿宋"/>
          <w:color w:val="000000"/>
          <w:sz w:val="32"/>
        </w:rPr>
        <w:br w:type="textWrapping"/>
        <w:t>　　</w:t>
      </w:r>
      <w:r>
        <w:rPr>
          <w:rStyle w:val="C3"/>
          <w:rFonts w:ascii="黑体" w:hAnsi="黑体"/>
          <w:color w:val="000000"/>
          <w:sz w:val="32"/>
        </w:rPr>
        <w:t>第二十一条</w:t>
      </w:r>
      <w:r>
        <w:rPr>
          <w:rStyle w:val="C3"/>
          <w:rFonts w:ascii="仿宋" w:hAnsi="仿宋"/>
          <w:color w:val="000000"/>
          <w:sz w:val="32"/>
        </w:rPr>
        <w:t>　</w:t>
      </w:r>
      <w:r>
        <w:rPr>
          <w:rStyle w:val="C3"/>
          <w:rFonts w:ascii="仿宋" w:hAnsi="仿宋"/>
          <w:b w:val="0"/>
          <w:sz w:val="32"/>
        </w:rPr>
        <w:t>县级以上人民政府应当根据国家和省的有关规定，对在地方志工作中做出显著成绩的单位和个人给予表彰和奖励。</w:t>
      </w:r>
      <w:r>
        <w:rPr>
          <w:rStyle w:val="C3"/>
          <w:rFonts w:ascii="仿宋" w:hAnsi="仿宋"/>
          <w:color w:val="000000"/>
          <w:sz w:val="32"/>
        </w:rPr>
        <w:br w:type="textWrapping"/>
        <w:t>　　</w:t>
      </w:r>
      <w:r>
        <w:rPr>
          <w:rStyle w:val="C3"/>
          <w:rFonts w:ascii="黑体" w:hAnsi="黑体"/>
          <w:color w:val="000000"/>
          <w:sz w:val="32"/>
        </w:rPr>
        <w:t>第二十二条</w:t>
      </w:r>
      <w:r>
        <w:rPr>
          <w:rStyle w:val="C3"/>
          <w:rFonts w:ascii="仿宋" w:hAnsi="仿宋"/>
          <w:color w:val="000000"/>
          <w:sz w:val="32"/>
        </w:rPr>
        <w:t>　</w:t>
      </w:r>
      <w:r>
        <w:rPr>
          <w:rStyle w:val="C3"/>
          <w:rFonts w:ascii="仿宋" w:hAnsi="仿宋"/>
          <w:sz w:val="32"/>
        </w:rPr>
        <w:t>违反本条例规定，有下列行为之一的，由县级以上人民政府负责地方志工作的机构督促限期改正；逾期未改正的，由县级以上人民政府负责地方志工作的机构按照管理权限提请本级人民政府或者其他有权机关依法追究责任：</w:t>
      </w:r>
    </w:p>
    <w:p>
      <w:pPr>
        <w:pStyle w:val="P7"/>
        <w:keepNext w:val="0"/>
        <w:keepLines w:val="0"/>
        <w:spacing w:lineRule="auto" w:line="240" w:before="0" w:after="0"/>
        <w:ind w:firstLine="200" w:left="0" w:right="0"/>
        <w:rPr>
          <w:rStyle w:val="C3"/>
          <w:rFonts w:ascii="仿宋" w:hAnsi="仿宋"/>
          <w:sz w:val="32"/>
        </w:rPr>
      </w:pPr>
      <w:r>
        <w:rPr>
          <w:rStyle w:val="C3"/>
          <w:rFonts w:ascii="仿宋" w:hAnsi="仿宋"/>
          <w:sz w:val="32"/>
        </w:rPr>
        <w:t>（一）未按照规定完成地方志编纂任务的；</w:t>
      </w:r>
    </w:p>
    <w:p>
      <w:pPr>
        <w:pStyle w:val="P7"/>
        <w:keepNext w:val="0"/>
        <w:keepLines w:val="0"/>
        <w:spacing w:lineRule="auto" w:line="240" w:before="0" w:after="0"/>
        <w:ind w:firstLine="200" w:left="0" w:right="0"/>
        <w:rPr>
          <w:rStyle w:val="C3"/>
          <w:rFonts w:ascii="仿宋" w:hAnsi="仿宋"/>
          <w:sz w:val="32"/>
        </w:rPr>
      </w:pPr>
      <w:r>
        <w:rPr>
          <w:rStyle w:val="C3"/>
          <w:rFonts w:ascii="仿宋" w:hAnsi="仿宋"/>
          <w:sz w:val="32"/>
        </w:rPr>
        <w:t>（二）拒不接受监督、检查的；</w:t>
      </w:r>
    </w:p>
    <w:p>
      <w:pPr>
        <w:pStyle w:val="P7"/>
        <w:keepNext w:val="0"/>
        <w:keepLines w:val="0"/>
        <w:spacing w:lineRule="auto" w:line="240" w:before="0" w:after="0"/>
        <w:ind w:firstLine="200" w:left="0" w:right="0"/>
        <w:rPr>
          <w:rStyle w:val="C3"/>
          <w:rFonts w:ascii="仿宋" w:hAnsi="仿宋"/>
          <w:sz w:val="32"/>
        </w:rPr>
      </w:pPr>
      <w:r>
        <w:rPr>
          <w:rStyle w:val="C3"/>
          <w:rFonts w:ascii="仿宋" w:hAnsi="仿宋"/>
          <w:sz w:val="32"/>
        </w:rPr>
        <w:t>（三）将应当依法移交本级档案馆或者方志馆保存、管理的地方志资料散失、损毁或者据为己有的；</w:t>
      </w:r>
    </w:p>
    <w:p>
      <w:pPr>
        <w:pStyle w:val="P7"/>
        <w:keepNext w:val="0"/>
        <w:keepLines w:val="0"/>
        <w:spacing w:lineRule="auto" w:line="240" w:before="0" w:after="0"/>
        <w:ind w:firstLine="200" w:left="0" w:right="0"/>
        <w:rPr>
          <w:rStyle w:val="C3"/>
          <w:rFonts w:ascii="仿宋" w:hAnsi="仿宋"/>
          <w:sz w:val="32"/>
        </w:rPr>
      </w:pPr>
      <w:r>
        <w:rPr>
          <w:rStyle w:val="C3"/>
          <w:rFonts w:ascii="仿宋" w:hAnsi="仿宋"/>
          <w:b w:val="0"/>
          <w:sz w:val="32"/>
        </w:rPr>
        <w:t>（四）</w:t>
      </w:r>
      <w:r>
        <w:rPr>
          <w:rStyle w:val="C3"/>
          <w:rFonts w:ascii="仿宋" w:hAnsi="仿宋"/>
          <w:sz w:val="32"/>
        </w:rPr>
        <w:t>擅自编纂出版地方志书和综合年鉴的；</w:t>
      </w:r>
    </w:p>
    <w:p>
      <w:pPr>
        <w:pStyle w:val="P4"/>
        <w:ind w:firstLine="640"/>
        <w:rPr>
          <w:rStyle w:val="C3"/>
        </w:rPr>
      </w:pPr>
      <w:r>
        <w:rPr>
          <w:rStyle w:val="C3"/>
          <w:rFonts w:ascii="仿宋" w:hAnsi="仿宋"/>
          <w:b w:val="0"/>
          <w:sz w:val="32"/>
        </w:rPr>
        <w:t>（五）</w:t>
      </w:r>
      <w:r>
        <w:rPr>
          <w:rStyle w:val="C3"/>
          <w:rFonts w:ascii="仿宋" w:hAnsi="仿宋"/>
          <w:sz w:val="32"/>
        </w:rPr>
        <w:t>擅自修改终审机构验收通过的地方志书和综合年鉴的。</w:t>
      </w:r>
      <w:r>
        <w:rPr>
          <w:rStyle w:val="C3"/>
          <w:rFonts w:ascii="仿宋" w:hAnsi="仿宋"/>
          <w:color w:val="000000"/>
          <w:sz w:val="32"/>
        </w:rPr>
        <w:br w:type="textWrapping"/>
        <w:t>　　</w:t>
      </w:r>
      <w:r>
        <w:rPr>
          <w:rStyle w:val="C3"/>
          <w:rFonts w:ascii="黑体" w:hAnsi="黑体"/>
          <w:color w:val="000000"/>
          <w:sz w:val="32"/>
        </w:rPr>
        <w:t>第二十三条</w:t>
      </w:r>
      <w:r>
        <w:rPr>
          <w:rStyle w:val="C3"/>
          <w:rFonts w:ascii="仿宋" w:hAnsi="仿宋"/>
          <w:color w:val="000000"/>
          <w:sz w:val="32"/>
        </w:rPr>
        <w:t>　本条例自2007年1月1日施行。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framePr w:h="0"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21"/>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w:next w:val="P2"/>
    <w:pPr>
      <w:widowControl w:val="0"/>
      <w:spacing w:lineRule="exact" w:line="579"/>
      <w:ind w:firstLine="664"/>
    </w:pPr>
    <w:rPr>
      <w:rFonts w:ascii="仿宋_GB2312" w:hAnsi="仿宋_GB2312"/>
      <w:sz w:val="32"/>
    </w:rPr>
  </w:style>
  <w:style w:type="paragraph" w:styleId="P3">
    <w:name w:val="正文 New"/>
    <w:next w:val="P3"/>
    <w:pPr>
      <w:widowControl w:val="0"/>
      <w:spacing w:lineRule="exact" w:line="579"/>
      <w:ind w:firstLine="664"/>
    </w:pPr>
    <w:rPr>
      <w:rFonts w:ascii="仿宋_GB2312" w:hAnsi="仿宋_GB2312"/>
      <w:sz w:val="32"/>
    </w:rPr>
  </w:style>
  <w:style w:type="paragraph" w:styleId="P4">
    <w:name w:val="正文 New New New New New New New New New New New New New New New New New New New New New New New New"/>
    <w:next w:val="P4"/>
    <w:pPr>
      <w:widowControl w:val="0"/>
      <w:jc w:val="both"/>
    </w:pPr>
    <w:rPr>
      <w:sz w:val="21"/>
    </w:rPr>
  </w:style>
  <w:style w:type="paragraph" w:styleId="P5">
    <w:name w:val="正文 New New New New New New New New New New New New New New New New New New New New New New"/>
    <w:next w:val="P5"/>
    <w:pPr>
      <w:widowControl w:val="0"/>
      <w:jc w:val="both"/>
    </w:pPr>
    <w:rPr>
      <w:sz w:val="21"/>
    </w:rPr>
  </w:style>
  <w:style w:type="paragraph" w:styleId="P6">
    <w:name w:val="正文 New New New New New New New New New New New New New New New New"/>
    <w:next w:val="P6"/>
    <w:pPr>
      <w:widowControl w:val="0"/>
      <w:spacing w:lineRule="exact" w:line="579"/>
      <w:ind w:firstLine="664"/>
    </w:pPr>
    <w:rPr>
      <w:rFonts w:ascii="仿宋_GB2312" w:hAnsi="仿宋_GB2312"/>
      <w:sz w:val="32"/>
    </w:rPr>
  </w:style>
  <w:style w:type="paragraph" w:styleId="P7">
    <w:name w:val="正文 New New New"/>
    <w:next w:val="P7"/>
    <w:pPr>
      <w:widowControl w:val="0"/>
      <w:jc w:val="both"/>
    </w:pPr>
    <w:rPr>
      <w:sz w:val="21"/>
    </w:rPr>
  </w:style>
  <w:style w:type="paragraph" w:styleId="P8">
    <w:name w:val="正文 New New"/>
    <w:next w:val="P8"/>
    <w:pPr>
      <w:widowControl w:val="0"/>
      <w:spacing w:lineRule="exact" w:line="579"/>
      <w:ind w:firstLine="664"/>
    </w:pPr>
    <w:rPr>
      <w:rFonts w:ascii="仿宋_GB2312" w:hAnsi="仿宋_GB2312"/>
      <w:sz w:val="32"/>
    </w:rPr>
  </w:style>
  <w:style w:type="paragraph" w:styleId="P9">
    <w:name w:val="正文 New New New New"/>
    <w:next w:val="P9"/>
    <w:pPr>
      <w:widowControl w:val="0"/>
      <w:spacing w:lineRule="exact" w:line="579"/>
      <w:ind w:firstLine="664"/>
    </w:pPr>
    <w:rPr>
      <w:rFonts w:ascii="仿宋_GB2312" w:hAnsi="仿宋_GB2312"/>
      <w:sz w:val="32"/>
    </w:rPr>
  </w:style>
  <w:style w:type="paragraph" w:styleId="P10">
    <w:name w:val="正文 New New New New New New New New New New New New New New"/>
    <w:next w:val="P10"/>
    <w:pPr>
      <w:widowControl w:val="0"/>
      <w:jc w:val="both"/>
    </w:pPr>
    <w:rPr>
      <w:sz w:val="21"/>
    </w:rPr>
  </w:style>
  <w:style w:type="paragraph" w:styleId="P11">
    <w:name w:val="正文 New New New New New New"/>
    <w:next w:val="P11"/>
    <w:pPr>
      <w:widowControl w:val="0"/>
      <w:spacing w:lineRule="exact" w:line="579"/>
      <w:ind w:firstLine="664"/>
    </w:pPr>
    <w:rPr>
      <w:rFonts w:ascii="仿宋_GB2312" w:hAnsi="仿宋_GB2312"/>
      <w:sz w:val="32"/>
    </w:rPr>
  </w:style>
  <w:style w:type="paragraph" w:styleId="P12">
    <w:name w:val="正文 New New New New New New New New New New New New New"/>
    <w:next w:val="P12"/>
    <w:pPr>
      <w:widowControl w:val="0"/>
      <w:spacing w:lineRule="exact" w:line="579"/>
      <w:ind w:firstLine="664"/>
    </w:pPr>
    <w:rPr>
      <w:rFonts w:ascii="仿宋_GB2312" w:hAnsi="仿宋_GB2312"/>
      <w:sz w:val="32"/>
    </w:rPr>
  </w:style>
  <w:style w:type="paragraph" w:styleId="P13">
    <w:name w:val="正文 New New New New New New New New New New New New New New New"/>
    <w:next w:val="P13"/>
    <w:pPr>
      <w:widowControl w:val="0"/>
      <w:spacing w:lineRule="exact" w:line="579"/>
      <w:ind w:firstLine="664"/>
    </w:pPr>
    <w:rPr>
      <w:rFonts w:ascii="仿宋_GB2312" w:hAnsi="仿宋_GB2312"/>
      <w:sz w:val="32"/>
    </w:rPr>
  </w:style>
  <w:style w:type="paragraph" w:styleId="P14">
    <w:name w:val="正文 New New New New New"/>
    <w:next w:val="P14"/>
    <w:pPr>
      <w:widowControl w:val="0"/>
      <w:spacing w:lineRule="exact" w:line="579"/>
      <w:ind w:firstLine="664"/>
    </w:pPr>
    <w:rPr>
      <w:rFonts w:ascii="仿宋_GB2312" w:hAnsi="仿宋_GB2312"/>
      <w:sz w:val="32"/>
    </w:rPr>
  </w:style>
  <w:style w:type="paragraph" w:styleId="P15">
    <w:name w:val="正文 New New New New New New New New New New"/>
    <w:next w:val="P15"/>
    <w:pPr>
      <w:widowControl w:val="0"/>
      <w:spacing w:lineRule="exact" w:line="579"/>
      <w:ind w:firstLine="664"/>
    </w:pPr>
    <w:rPr>
      <w:rFonts w:ascii="仿宋_GB2312" w:hAnsi="仿宋_GB2312"/>
      <w:sz w:val="32"/>
    </w:rPr>
  </w:style>
  <w:style w:type="paragraph" w:styleId="P16">
    <w:name w:val="正文 New New New New New New New"/>
    <w:next w:val="P16"/>
    <w:pPr>
      <w:widowControl w:val="0"/>
      <w:spacing w:lineRule="exact" w:line="579"/>
      <w:ind w:firstLine="664"/>
    </w:pPr>
    <w:rPr>
      <w:rFonts w:ascii="仿宋_GB2312" w:hAnsi="仿宋_GB2312"/>
      <w:sz w:val="32"/>
    </w:rPr>
  </w:style>
  <w:style w:type="paragraph" w:styleId="P17">
    <w:name w:val="正文 New New New New New New New New"/>
    <w:next w:val="P17"/>
    <w:pPr>
      <w:widowControl w:val="0"/>
      <w:spacing w:lineRule="exact" w:line="579"/>
      <w:ind w:firstLine="664"/>
    </w:pPr>
    <w:rPr>
      <w:rFonts w:ascii="仿宋_GB2312" w:hAnsi="仿宋_GB2312"/>
      <w:sz w:val="32"/>
    </w:rPr>
  </w:style>
  <w:style w:type="paragraph" w:styleId="P18">
    <w:name w:val="正文 New New New New New New New New New New New"/>
    <w:next w:val="P18"/>
    <w:pPr>
      <w:widowControl w:val="0"/>
      <w:spacing w:lineRule="exact" w:line="579"/>
      <w:ind w:firstLine="664"/>
    </w:pPr>
    <w:rPr>
      <w:rFonts w:ascii="仿宋_GB2312" w:hAnsi="仿宋_GB2312"/>
      <w:sz w:val="32"/>
    </w:rPr>
  </w:style>
  <w:style w:type="paragraph" w:styleId="P19">
    <w:name w:val="正文 New New New New New New New New New New New New"/>
    <w:next w:val="P19"/>
    <w:pPr>
      <w:widowControl w:val="0"/>
      <w:spacing w:lineRule="exact" w:line="579"/>
      <w:ind w:firstLine="664"/>
    </w:pPr>
    <w:rPr>
      <w:rFonts w:ascii="仿宋_GB2312" w:hAnsi="仿宋_GB2312"/>
      <w:sz w:val="32"/>
    </w:rPr>
  </w:style>
  <w:style w:type="paragraph" w:styleId="P20">
    <w:name w:val="页眉"/>
    <w:basedOn w:val="P1"/>
    <w:next w:val="P2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1">
    <w:name w:val="页脚"/>
    <w:basedOn w:val="P1"/>
    <w:next w:val="P21"/>
    <w:pPr>
      <w:tabs>
        <w:tab w:val="center" w:pos="4153" w:leader="none"/>
        <w:tab w:val="right" w:pos="8306" w:leader="none"/>
      </w:tabs>
      <w:jc w:val="left"/>
    </w:pPr>
    <w:rPr>
      <w:sz w:val="18"/>
    </w:rPr>
  </w:style>
  <w:style w:type="paragraph" w:styleId="P22">
    <w:name w:val="页眉 New New New New New New New New"/>
    <w:basedOn w:val="P2"/>
    <w:next w:val="P22"/>
    <w:pPr>
      <w:pBdr>
        <w:bottom w:val="single" w:sz="6" w:space="0" w:shadow="0" w:frame="0"/>
      </w:pBdr>
      <w:tabs>
        <w:tab w:val="center" w:pos="4153" w:leader="none"/>
        <w:tab w:val="right" w:pos="8306" w:leader="none"/>
      </w:tabs>
      <w:spacing w:lineRule="atLeast" w:line="240"/>
      <w:jc w:val="center"/>
    </w:pPr>
    <w:rPr>
      <w:sz w:val="18"/>
    </w:rPr>
  </w:style>
  <w:style w:type="paragraph" w:styleId="P23">
    <w:name w:val="页脚 New New New New New New New New"/>
    <w:basedOn w:val="P2"/>
    <w:next w:val="P23"/>
    <w:pPr>
      <w:tabs>
        <w:tab w:val="center" w:pos="4153" w:leader="none"/>
        <w:tab w:val="right" w:pos="8307" w:leader="none"/>
      </w:tabs>
    </w:pPr>
    <w:rPr>
      <w:rFonts w:ascii="仿宋_GB2312" w:hAnsi="仿宋_GB2312"/>
      <w:sz w:val="28"/>
    </w:rPr>
  </w:style>
  <w:style w:type="paragraph" w:styleId="P24">
    <w:name w:val="页眉 New"/>
    <w:basedOn w:val="P3"/>
    <w:next w:val="P24"/>
    <w:pPr>
      <w:pBdr>
        <w:bottom w:val="single" w:sz="6" w:space="0" w:shadow="0" w:frame="0"/>
      </w:pBdr>
      <w:tabs>
        <w:tab w:val="center" w:pos="4153" w:leader="none"/>
        <w:tab w:val="right" w:pos="8306" w:leader="none"/>
      </w:tabs>
      <w:spacing w:lineRule="atLeast" w:line="240"/>
      <w:jc w:val="center"/>
    </w:pPr>
    <w:rPr>
      <w:sz w:val="18"/>
    </w:rPr>
  </w:style>
  <w:style w:type="paragraph" w:styleId="P25">
    <w:name w:val="页脚 New"/>
    <w:basedOn w:val="P3"/>
    <w:next w:val="P25"/>
    <w:pPr>
      <w:tabs>
        <w:tab w:val="center" w:pos="4153" w:leader="none"/>
        <w:tab w:val="right" w:pos="8307" w:leader="none"/>
      </w:tabs>
    </w:pPr>
    <w:rPr>
      <w:rFonts w:ascii="仿宋_GB2312" w:hAnsi="仿宋_GB2312"/>
      <w:sz w:val="28"/>
    </w:rPr>
  </w:style>
  <w:style w:type="paragraph" w:styleId="P26">
    <w:name w:val="页眉 New New New New New New New New New New New New New New"/>
    <w:basedOn w:val="P6"/>
    <w:next w:val="P26"/>
    <w:pPr>
      <w:pBdr>
        <w:bottom w:val="single" w:sz="6" w:space="0" w:shadow="0" w:frame="0"/>
      </w:pBdr>
      <w:tabs>
        <w:tab w:val="center" w:pos="4153" w:leader="none"/>
        <w:tab w:val="right" w:pos="8306" w:leader="none"/>
      </w:tabs>
      <w:spacing w:lineRule="atLeast" w:line="240"/>
      <w:jc w:val="center"/>
    </w:pPr>
    <w:rPr>
      <w:sz w:val="18"/>
    </w:rPr>
  </w:style>
  <w:style w:type="paragraph" w:styleId="P27">
    <w:name w:val="页脚 New New New New New New New New New New New New New New"/>
    <w:basedOn w:val="P6"/>
    <w:next w:val="P27"/>
    <w:pPr>
      <w:tabs>
        <w:tab w:val="center" w:pos="4153" w:leader="none"/>
        <w:tab w:val="right" w:pos="8307" w:leader="none"/>
      </w:tabs>
    </w:pPr>
    <w:rPr>
      <w:rFonts w:ascii="仿宋_GB2312" w:hAnsi="仿宋_GB2312"/>
      <w:sz w:val="28"/>
    </w:rPr>
  </w:style>
  <w:style w:type="paragraph" w:styleId="P28">
    <w:name w:val="页眉 New New"/>
    <w:basedOn w:val="P8"/>
    <w:next w:val="P28"/>
    <w:pPr>
      <w:pBdr>
        <w:bottom w:val="single" w:sz="6" w:space="0" w:shadow="0" w:frame="0"/>
      </w:pBdr>
      <w:tabs>
        <w:tab w:val="center" w:pos="4153" w:leader="none"/>
        <w:tab w:val="right" w:pos="8306" w:leader="none"/>
      </w:tabs>
      <w:spacing w:lineRule="atLeast" w:line="240"/>
      <w:jc w:val="center"/>
    </w:pPr>
    <w:rPr>
      <w:sz w:val="18"/>
    </w:rPr>
  </w:style>
  <w:style w:type="paragraph" w:styleId="P29">
    <w:name w:val="页脚 New New"/>
    <w:basedOn w:val="P8"/>
    <w:next w:val="P29"/>
    <w:pPr>
      <w:tabs>
        <w:tab w:val="center" w:pos="4153" w:leader="none"/>
        <w:tab w:val="right" w:pos="8307" w:leader="none"/>
      </w:tabs>
    </w:pPr>
    <w:rPr>
      <w:rFonts w:ascii="仿宋_GB2312" w:hAnsi="仿宋_GB2312"/>
      <w:sz w:val="28"/>
    </w:rPr>
  </w:style>
  <w:style w:type="paragraph" w:styleId="P30">
    <w:name w:val="页眉 New New New"/>
    <w:basedOn w:val="P9"/>
    <w:next w:val="P30"/>
    <w:pPr>
      <w:pBdr>
        <w:bottom w:val="single" w:sz="6" w:space="0" w:shadow="0" w:frame="0"/>
      </w:pBdr>
      <w:tabs>
        <w:tab w:val="center" w:pos="4153" w:leader="none"/>
        <w:tab w:val="right" w:pos="8306" w:leader="none"/>
      </w:tabs>
      <w:spacing w:lineRule="atLeast" w:line="240"/>
      <w:jc w:val="center"/>
    </w:pPr>
    <w:rPr>
      <w:sz w:val="18"/>
    </w:rPr>
  </w:style>
  <w:style w:type="paragraph" w:styleId="P31">
    <w:name w:val="页脚 New New New"/>
    <w:basedOn w:val="P9"/>
    <w:next w:val="P31"/>
    <w:pPr>
      <w:tabs>
        <w:tab w:val="center" w:pos="4153" w:leader="none"/>
        <w:tab w:val="right" w:pos="8307" w:leader="none"/>
      </w:tabs>
    </w:pPr>
    <w:rPr>
      <w:rFonts w:ascii="仿宋_GB2312" w:hAnsi="仿宋_GB2312"/>
      <w:sz w:val="28"/>
    </w:rPr>
  </w:style>
  <w:style w:type="paragraph" w:styleId="P32">
    <w:name w:val="页眉 New New New New New"/>
    <w:basedOn w:val="P11"/>
    <w:next w:val="P32"/>
    <w:pPr>
      <w:pBdr>
        <w:bottom w:val="single" w:sz="6" w:space="0" w:shadow="0" w:frame="0"/>
      </w:pBdr>
      <w:tabs>
        <w:tab w:val="center" w:pos="4153" w:leader="none"/>
        <w:tab w:val="right" w:pos="8306" w:leader="none"/>
      </w:tabs>
      <w:spacing w:lineRule="atLeast" w:line="240"/>
      <w:jc w:val="center"/>
    </w:pPr>
    <w:rPr>
      <w:sz w:val="18"/>
    </w:rPr>
  </w:style>
  <w:style w:type="paragraph" w:styleId="P33">
    <w:name w:val="页脚 New New New New New"/>
    <w:basedOn w:val="P11"/>
    <w:next w:val="P33"/>
    <w:pPr>
      <w:tabs>
        <w:tab w:val="center" w:pos="4153" w:leader="none"/>
        <w:tab w:val="right" w:pos="8307" w:leader="none"/>
      </w:tabs>
    </w:pPr>
    <w:rPr>
      <w:rFonts w:ascii="仿宋_GB2312" w:hAnsi="仿宋_GB2312"/>
      <w:sz w:val="28"/>
    </w:rPr>
  </w:style>
  <w:style w:type="paragraph" w:styleId="P34">
    <w:name w:val="页脚 New New New New New New New New New New New New"/>
    <w:basedOn w:val="P12"/>
    <w:next w:val="P34"/>
    <w:pPr>
      <w:tabs>
        <w:tab w:val="center" w:pos="4153" w:leader="none"/>
        <w:tab w:val="right" w:pos="8307" w:leader="none"/>
      </w:tabs>
    </w:pPr>
    <w:rPr>
      <w:rFonts w:ascii="仿宋_GB2312" w:hAnsi="仿宋_GB2312"/>
      <w:sz w:val="28"/>
    </w:rPr>
  </w:style>
  <w:style w:type="paragraph" w:styleId="P35">
    <w:name w:val="页眉 New New New New New New New New New New New New"/>
    <w:basedOn w:val="P12"/>
    <w:next w:val="P35"/>
    <w:pPr>
      <w:pBdr>
        <w:bottom w:val="single" w:sz="6" w:space="0" w:shadow="0" w:frame="0"/>
      </w:pBdr>
      <w:tabs>
        <w:tab w:val="center" w:pos="4153" w:leader="none"/>
        <w:tab w:val="right" w:pos="8306" w:leader="none"/>
      </w:tabs>
      <w:spacing w:lineRule="atLeast" w:line="240"/>
      <w:jc w:val="center"/>
    </w:pPr>
    <w:rPr>
      <w:sz w:val="18"/>
    </w:rPr>
  </w:style>
  <w:style w:type="paragraph" w:styleId="P36">
    <w:name w:val="页眉 New New New New New New New New New New New New New"/>
    <w:basedOn w:val="P13"/>
    <w:next w:val="P36"/>
    <w:pPr>
      <w:pBdr>
        <w:bottom w:val="single" w:sz="6" w:space="0" w:shadow="0" w:frame="0"/>
      </w:pBdr>
      <w:tabs>
        <w:tab w:val="center" w:pos="4153" w:leader="none"/>
        <w:tab w:val="right" w:pos="8306" w:leader="none"/>
      </w:tabs>
      <w:spacing w:lineRule="atLeast" w:line="240"/>
      <w:jc w:val="center"/>
    </w:pPr>
    <w:rPr>
      <w:sz w:val="18"/>
    </w:rPr>
  </w:style>
  <w:style w:type="paragraph" w:styleId="P37">
    <w:name w:val="页脚 New New New New New New New New New New New New New"/>
    <w:basedOn w:val="P13"/>
    <w:next w:val="P37"/>
    <w:pPr>
      <w:tabs>
        <w:tab w:val="center" w:pos="4153" w:leader="none"/>
        <w:tab w:val="right" w:pos="8307" w:leader="none"/>
      </w:tabs>
    </w:pPr>
    <w:rPr>
      <w:rFonts w:ascii="仿宋_GB2312" w:hAnsi="仿宋_GB2312"/>
      <w:sz w:val="28"/>
    </w:rPr>
  </w:style>
  <w:style w:type="paragraph" w:styleId="P38">
    <w:name w:val="页眉 New New New New"/>
    <w:basedOn w:val="P14"/>
    <w:next w:val="P38"/>
    <w:pPr>
      <w:pBdr>
        <w:bottom w:val="single" w:sz="6" w:space="0" w:shadow="0" w:frame="0"/>
      </w:pBdr>
      <w:tabs>
        <w:tab w:val="center" w:pos="4153" w:leader="none"/>
        <w:tab w:val="right" w:pos="8306" w:leader="none"/>
      </w:tabs>
      <w:spacing w:lineRule="atLeast" w:line="240"/>
      <w:jc w:val="center"/>
    </w:pPr>
    <w:rPr>
      <w:sz w:val="18"/>
    </w:rPr>
  </w:style>
  <w:style w:type="paragraph" w:styleId="P39">
    <w:name w:val="页脚 New New New New"/>
    <w:basedOn w:val="P14"/>
    <w:next w:val="P39"/>
    <w:pPr>
      <w:tabs>
        <w:tab w:val="center" w:pos="4153" w:leader="none"/>
        <w:tab w:val="right" w:pos="8307" w:leader="none"/>
      </w:tabs>
    </w:pPr>
    <w:rPr>
      <w:rFonts w:ascii="仿宋_GB2312" w:hAnsi="仿宋_GB2312"/>
      <w:sz w:val="28"/>
    </w:rPr>
  </w:style>
  <w:style w:type="paragraph" w:styleId="P40">
    <w:name w:val="页眉 New New New New New New New New New"/>
    <w:basedOn w:val="P15"/>
    <w:next w:val="P40"/>
    <w:pPr>
      <w:pBdr>
        <w:bottom w:val="single" w:sz="6" w:space="0" w:shadow="0" w:frame="0"/>
      </w:pBdr>
      <w:tabs>
        <w:tab w:val="center" w:pos="4153" w:leader="none"/>
        <w:tab w:val="right" w:pos="8306" w:leader="none"/>
      </w:tabs>
      <w:spacing w:lineRule="atLeast" w:line="240"/>
      <w:jc w:val="center"/>
    </w:pPr>
    <w:rPr>
      <w:sz w:val="18"/>
    </w:rPr>
  </w:style>
  <w:style w:type="paragraph" w:styleId="P41">
    <w:name w:val="页脚 New New New New New New New New New"/>
    <w:basedOn w:val="P15"/>
    <w:next w:val="P41"/>
    <w:pPr>
      <w:tabs>
        <w:tab w:val="center" w:pos="4153" w:leader="none"/>
        <w:tab w:val="right" w:pos="8307" w:leader="none"/>
      </w:tabs>
    </w:pPr>
    <w:rPr>
      <w:rFonts w:ascii="仿宋_GB2312" w:hAnsi="仿宋_GB2312"/>
      <w:sz w:val="28"/>
    </w:rPr>
  </w:style>
  <w:style w:type="paragraph" w:styleId="P42">
    <w:name w:val="页眉 New New New New New New"/>
    <w:basedOn w:val="P16"/>
    <w:next w:val="P42"/>
    <w:pPr>
      <w:pBdr>
        <w:bottom w:val="single" w:sz="6" w:space="0" w:shadow="0" w:frame="0"/>
      </w:pBdr>
      <w:tabs>
        <w:tab w:val="center" w:pos="4153" w:leader="none"/>
        <w:tab w:val="right" w:pos="8306" w:leader="none"/>
      </w:tabs>
      <w:spacing w:lineRule="atLeast" w:line="240"/>
      <w:jc w:val="center"/>
    </w:pPr>
    <w:rPr>
      <w:sz w:val="18"/>
    </w:rPr>
  </w:style>
  <w:style w:type="paragraph" w:styleId="P43">
    <w:name w:val="页脚 New New New New New New"/>
    <w:basedOn w:val="P16"/>
    <w:next w:val="P43"/>
    <w:pPr>
      <w:tabs>
        <w:tab w:val="center" w:pos="4153" w:leader="none"/>
        <w:tab w:val="right" w:pos="8307" w:leader="none"/>
      </w:tabs>
    </w:pPr>
    <w:rPr>
      <w:rFonts w:ascii="仿宋_GB2312" w:hAnsi="仿宋_GB2312"/>
      <w:sz w:val="28"/>
    </w:rPr>
  </w:style>
  <w:style w:type="paragraph" w:styleId="P44">
    <w:name w:val="页眉 New New New New New New New"/>
    <w:basedOn w:val="P17"/>
    <w:next w:val="P44"/>
    <w:pPr>
      <w:pBdr>
        <w:bottom w:val="single" w:sz="6" w:space="0" w:shadow="0" w:frame="0"/>
      </w:pBdr>
      <w:tabs>
        <w:tab w:val="center" w:pos="4153" w:leader="none"/>
        <w:tab w:val="right" w:pos="8306" w:leader="none"/>
      </w:tabs>
      <w:spacing w:lineRule="atLeast" w:line="240"/>
      <w:jc w:val="center"/>
    </w:pPr>
    <w:rPr>
      <w:sz w:val="18"/>
    </w:rPr>
  </w:style>
  <w:style w:type="paragraph" w:styleId="P45">
    <w:name w:val="页脚 New New New New New New New"/>
    <w:basedOn w:val="P17"/>
    <w:next w:val="P45"/>
    <w:pPr>
      <w:tabs>
        <w:tab w:val="center" w:pos="4153" w:leader="none"/>
        <w:tab w:val="right" w:pos="8307" w:leader="none"/>
      </w:tabs>
    </w:pPr>
    <w:rPr>
      <w:rFonts w:ascii="仿宋_GB2312" w:hAnsi="仿宋_GB2312"/>
      <w:sz w:val="28"/>
    </w:rPr>
  </w:style>
  <w:style w:type="paragraph" w:styleId="P46">
    <w:name w:val="页脚 New New New New New New New New New New"/>
    <w:basedOn w:val="P18"/>
    <w:next w:val="P46"/>
    <w:pPr>
      <w:tabs>
        <w:tab w:val="center" w:pos="4153" w:leader="none"/>
        <w:tab w:val="right" w:pos="8307" w:leader="none"/>
      </w:tabs>
    </w:pPr>
    <w:rPr>
      <w:rFonts w:ascii="仿宋_GB2312" w:hAnsi="仿宋_GB2312"/>
      <w:sz w:val="28"/>
    </w:rPr>
  </w:style>
  <w:style w:type="paragraph" w:styleId="P47">
    <w:name w:val="页眉 New New New New New New New New New New"/>
    <w:basedOn w:val="P18"/>
    <w:next w:val="P47"/>
    <w:pPr>
      <w:pBdr>
        <w:bottom w:val="single" w:sz="6" w:space="0" w:shadow="0" w:frame="0"/>
      </w:pBdr>
      <w:tabs>
        <w:tab w:val="center" w:pos="4153" w:leader="none"/>
        <w:tab w:val="right" w:pos="8306" w:leader="none"/>
      </w:tabs>
      <w:spacing w:lineRule="atLeast" w:line="240"/>
      <w:jc w:val="center"/>
    </w:pPr>
    <w:rPr>
      <w:sz w:val="18"/>
    </w:rPr>
  </w:style>
  <w:style w:type="paragraph" w:styleId="P48">
    <w:name w:val="页眉 New New New New New New New New New New New"/>
    <w:basedOn w:val="P19"/>
    <w:next w:val="P48"/>
    <w:pPr>
      <w:pBdr>
        <w:bottom w:val="single" w:sz="6" w:space="0" w:shadow="0" w:frame="0"/>
      </w:pBdr>
      <w:tabs>
        <w:tab w:val="center" w:pos="4153" w:leader="none"/>
        <w:tab w:val="right" w:pos="8306" w:leader="none"/>
      </w:tabs>
      <w:spacing w:lineRule="atLeast" w:line="240"/>
      <w:jc w:val="center"/>
    </w:pPr>
    <w:rPr>
      <w:sz w:val="18"/>
    </w:rPr>
  </w:style>
  <w:style w:type="paragraph" w:styleId="P49">
    <w:name w:val="页脚 New New New New New New New New New New New"/>
    <w:basedOn w:val="P19"/>
    <w:next w:val="P49"/>
    <w:pPr>
      <w:tabs>
        <w:tab w:val="center" w:pos="4153" w:leader="none"/>
        <w:tab w:val="right" w:pos="8307" w:leader="none"/>
      </w:tabs>
    </w:pPr>
    <w:rPr>
      <w:rFonts w:ascii="仿宋_GB2312" w:hAnsi="仿宋_GB2312"/>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2011-09-13T11:13:00Z</dcterms:created>
  <cp:lastModifiedBy>f1TZOF\f1TZOF-</cp:lastModifiedBy>
  <dcterms:modified xsi:type="dcterms:W3CDTF">2024-08-28T01:34:32Z</dcterms:modified>
  <cp:revision>2</cp:revision>
  <dc:title>吉林省地方志工作条例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