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611174" Type="http://schemas.openxmlformats.org/officeDocument/2006/relationships/officeDocument" Target="/word/document.xml" /><Relationship Id="coreR67611174" Type="http://schemas.openxmlformats.org/package/2006/relationships/metadata/core-properties" Target="/docProps/core.xml" /><Relationship Id="customR6761117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太原市区（市）人民代表大会常务委员会</w:t>
      </w:r>
    </w:p>
    <w:p>
      <w:pPr>
        <w:pStyle w:val="P1"/>
        <w:spacing w:lineRule="exact" w:line="578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街道工作委员会工作条例</w:t>
      </w:r>
    </w:p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ind w:left="630" w:righ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2001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日太原市第十届人民代表大会常务委员会第三十二次会议通过　</w:t>
      </w:r>
      <w:r>
        <w:rPr>
          <w:rStyle w:val="C3"/>
          <w:rFonts w:ascii="楷体_GB2312" w:hAnsi="楷体_GB2312"/>
          <w:sz w:val="32"/>
        </w:rPr>
        <w:t>2001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日山西省第九届人民代表大会常务委员会第二十四次会议批准）</w:t>
      </w:r>
    </w:p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　</w:t>
      </w:r>
      <w:r>
        <w:rPr>
          <w:rStyle w:val="C3"/>
          <w:rFonts w:ascii="Microsoft YaHei UI" w:hAnsi="Microsoft YaHei UI"/>
          <w:sz w:val="32"/>
        </w:rPr>
        <w:t>为规范区（市）人民代表大会常务委员会街道工作委员会的工作，进一步推进基层社会主义民主和法制建设，特制定本条例。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　</w:t>
      </w:r>
      <w:r>
        <w:rPr>
          <w:rStyle w:val="C3"/>
          <w:rFonts w:ascii="Microsoft YaHei UI" w:hAnsi="Microsoft YaHei UI"/>
          <w:sz w:val="32"/>
        </w:rPr>
        <w:t>街道工作委员会是区（市）人民代表大会常务委员会的工作机构，在区（市）人民代表大会常务委员会的领导下开展工作。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　</w:t>
      </w:r>
      <w:r>
        <w:rPr>
          <w:rStyle w:val="C3"/>
          <w:rFonts w:ascii="Microsoft YaHei UI" w:hAnsi="Microsoft YaHei UI"/>
          <w:sz w:val="32"/>
        </w:rPr>
        <w:t>街道工作委员会履行以下职责：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（一）宣传宪法、法律、行政法规、地方性法规和上级人民代表大会及其常务委员会的决议、决定，会同有关部门抓好基层民主和法制建设；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（二）按照区（市）人民代表大会常务委员会的工作计划和部署，组织辖区内的区（市）人民代表大会代表开展视察活动、执法检查和评议工作；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（三）联系辖区内的区（市）人民代表大会代表和上级人民代表大会代表，接待代表的来访，反映代表的意见和要求，督促街道办事处及有关单位认真办理代表提出的建议、批评和意见；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（四）组织和指导代表小组进行学习，开展活动，联系选民，反映人民群众的意见和要求；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（五）对街道办事处和区（市）人民政府所属部门派驻街道的工作机构的工作，提出意见和建议；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（六）对辖区内经济建设、社会治安、社会保障和人民群众关心的问题进行调查研究，向区（市）人民代表大会常务委员会和有关部门反映情况，提出意见和建议；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指导城市居民委员会和村民委员会依照《中华人民共和国城市居民委员会组织法》、《中华人民共和国村民委员会组织法》与《山西省实施〈中华人民共和国城市居民委员会组织法〉办法》、《山西省实施〈中华人民共和国村民委员会组织法〉办法》开展自治活动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（八）在区</w:t>
      </w:r>
      <w:r>
        <w:rPr>
          <w:rStyle w:val="C3"/>
          <w:rFonts w:ascii="仿宋_GB2312" w:hAnsi="仿宋_GB2312"/>
          <w:sz w:val="32"/>
        </w:rPr>
        <w:t>(</w:t>
      </w:r>
      <w:r>
        <w:rPr>
          <w:rStyle w:val="C3"/>
          <w:rFonts w:ascii="Microsoft YaHei UI" w:hAnsi="Microsoft YaHei UI"/>
          <w:sz w:val="32"/>
        </w:rPr>
        <w:t>市</w:t>
      </w:r>
      <w:r>
        <w:rPr>
          <w:rStyle w:val="C3"/>
          <w:rFonts w:ascii="仿宋_GB2312" w:hAnsi="仿宋_GB2312"/>
          <w:sz w:val="32"/>
        </w:rPr>
        <w:t>)</w:t>
      </w:r>
      <w:r>
        <w:rPr>
          <w:rStyle w:val="C3"/>
          <w:rFonts w:ascii="Microsoft YaHei UI" w:hAnsi="Microsoft YaHei UI"/>
          <w:sz w:val="32"/>
        </w:rPr>
        <w:t>人民代表大会常务委员会和选举委员会的领导下，承办辖区内区（市）人民代表大会代表选举的有关工作；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（九）办理区（市）人民代表大会常务委员会及其主任会议交办的有关事项。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　</w:t>
      </w:r>
      <w:r>
        <w:rPr>
          <w:rStyle w:val="C3"/>
          <w:rFonts w:ascii="Microsoft YaHei UI" w:hAnsi="Microsoft YaHei UI"/>
          <w:sz w:val="32"/>
        </w:rPr>
        <w:t>街道工作委员会负责人，由区（市）人民代表大会常务委员会会议任免。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　</w:t>
      </w:r>
      <w:r>
        <w:rPr>
          <w:rStyle w:val="C3"/>
          <w:rFonts w:ascii="Microsoft YaHei UI" w:hAnsi="Microsoft YaHei UI"/>
          <w:sz w:val="32"/>
        </w:rPr>
        <w:t>街道工作委员会议定事项，实行民主集中制原则。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第六条　</w:t>
      </w:r>
      <w:r>
        <w:rPr>
          <w:rStyle w:val="C3"/>
          <w:rFonts w:ascii="Microsoft YaHei UI" w:hAnsi="Microsoft YaHei UI"/>
          <w:sz w:val="32"/>
        </w:rPr>
        <w:t>街道工作委员会负责人列席区（市）人民代表大会常务委员会会议。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　</w:t>
      </w:r>
      <w:r>
        <w:rPr>
          <w:rStyle w:val="C3"/>
          <w:rFonts w:ascii="Microsoft YaHei UI" w:hAnsi="Microsoft YaHei UI"/>
          <w:sz w:val="32"/>
        </w:rPr>
        <w:t>街道工作委员会举行会议时，根据工作需要，可以通知街道办事处、区（市）人民政府所属部门派驻街道的工作机构及有关单位负责人列席；也可以邀请辖区内的区（市）人民代表大会代表列席。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　</w:t>
      </w:r>
      <w:r>
        <w:rPr>
          <w:rStyle w:val="C3"/>
          <w:rFonts w:ascii="Microsoft YaHei UI" w:hAnsi="Microsoft YaHei UI"/>
          <w:sz w:val="32"/>
        </w:rPr>
        <w:t>街道工作委员会与街道办事处和区（市）人民政府所属部门派驻街道的工作机构应建立负责人联系制度，互相通报主要工作情况，讨论研究有关问题。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　</w:t>
      </w:r>
      <w:r>
        <w:rPr>
          <w:rStyle w:val="C3"/>
          <w:rFonts w:ascii="Microsoft YaHei UI" w:hAnsi="Microsoft YaHei UI"/>
          <w:sz w:val="32"/>
        </w:rPr>
        <w:t>本条例自公布之日起施行。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</w:p>
    <w:sectPr>
      <w:headerReference xmlns:r="http://schemas.openxmlformats.org/officeDocument/2006/relationships" w:type="even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oddPage"/>
      <w:pgSz w:w="11906" w:h="16838" w:code="0"/>
      <w:pgMar w:left="1531" w:right="1531" w:top="2041" w:bottom="2041" w:header="851" w:footer="1304" w:gutter="0"/>
      <w:pgNumType w:start="1"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jc w:val="right"/>
      <w:rPr>
        <w:rStyle w:val="C3"/>
        <w:rFonts w:ascii="Times New Roman" w:hAnsi="Times New Roman"/>
        <w:sz w:val="28"/>
      </w:rPr>
    </w:pPr>
    <w:r>
      <w:fldChar w:fldCharType="begin"/>
    </w:r>
    <w:r>
      <w:rPr>
        <w:rStyle w:val="C3"/>
        <w:rFonts w:ascii="Times New Roman" w:hAnsi="Times New Roman"/>
        <w:sz w:val="28"/>
      </w:rPr>
      <w:instrText xml:space="preserve"> PAGE   \* MERGEFORMAT </w:instrText>
    </w:r>
    <w:r>
      <w:rPr>
        <w:rStyle w:val="C3"/>
        <w:rFonts w:ascii="Times New Roman" w:hAnsi="Times New Roman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  <w:r>
      <w:rPr>
        <w:rStyle w:val="C3"/>
        <w:rFonts w:ascii="方正姚体" w:hAnsi="方正姚体"/>
        <w:sz w:val="28"/>
      </w:rPr>
      <w:t>　</w:t>
    </w:r>
  </w:p>
  <w:p>
    <w:pPr>
      <w:pStyle w:val="P6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280"/>
      <w:rPr>
        <w:rStyle w:val="C3"/>
        <w:rFonts w:ascii="Times New Roman" w:hAnsi="Times New Roman"/>
        <w:sz w:val="28"/>
      </w:rPr>
    </w:pPr>
    <w:r>
      <w:fldChar w:fldCharType="begin"/>
    </w:r>
    <w:r>
      <w:rPr>
        <w:rStyle w:val="C3"/>
        <w:rFonts w:ascii="Times New Roman" w:hAnsi="Times New Roman"/>
        <w:sz w:val="28"/>
      </w:rPr>
      <w:instrText xml:space="preserve"> PAGE   \* MERGEFORMAT </w:instrText>
    </w:r>
    <w:r>
      <w:rPr>
        <w:rStyle w:val="C3"/>
        <w:rFonts w:ascii="Times New Roman" w:hAnsi="Times New Roman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3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link w:val="C8"/>
    <w:pPr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标题 2"/>
    <w:basedOn w:val="P1"/>
    <w:next w:val="P1"/>
    <w:link w:val="C4"/>
    <w:pPr>
      <w:spacing w:before="100" w:after="100" w:beforeAutospacing="1" w:afterAutospacing="1"/>
      <w:jc w:val="left"/>
      <w:outlineLvl w:val="1"/>
    </w:pPr>
    <w:rPr>
      <w:rFonts w:ascii="宋体" w:hAnsi="宋体"/>
      <w:b w:val="1"/>
      <w:sz w:val="36"/>
    </w:rPr>
  </w:style>
  <w:style w:type="paragraph" w:styleId="P4">
    <w:name w:val="标题 3"/>
    <w:basedOn w:val="P1"/>
    <w:next w:val="P1"/>
    <w:link w:val="C7"/>
    <w:pPr>
      <w:spacing w:before="100" w:after="100" w:beforeAutospacing="1" w:afterAutospacing="1"/>
      <w:jc w:val="left"/>
      <w:outlineLvl w:val="2"/>
    </w:pPr>
    <w:rPr>
      <w:rFonts w:ascii="宋体" w:hAnsi="宋体"/>
      <w:b w:val="1"/>
      <w:sz w:val="27"/>
    </w:rPr>
  </w:style>
  <w:style w:type="paragraph" w:styleId="P5">
    <w:name w:val="页眉"/>
    <w:basedOn w:val="P1"/>
    <w:next w:val="P5"/>
    <w:link w:val="C6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rFonts w:ascii="Calibri" w:hAnsi="Calibri"/>
      <w:sz w:val="18"/>
    </w:rPr>
  </w:style>
  <w:style w:type="paragraph" w:styleId="P6">
    <w:name w:val="页脚"/>
    <w:basedOn w:val="P1"/>
    <w:next w:val="P6"/>
    <w:link w:val="C5"/>
    <w:pPr>
      <w:tabs>
        <w:tab w:val="center" w:pos="4153" w:leader="none"/>
        <w:tab w:val="right" w:pos="8306" w:leader="none"/>
      </w:tabs>
      <w:jc w:val="left"/>
    </w:pPr>
    <w:rPr>
      <w:rFonts w:ascii="Calibri" w:hAnsi="Calibr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标题 2 Char"/>
    <w:link w:val="P3"/>
    <w:rPr>
      <w:rFonts w:ascii="宋体" w:hAnsi="宋体"/>
      <w:b w:val="1"/>
      <w:sz w:val="36"/>
    </w:rPr>
  </w:style>
  <w:style w:type="character" w:styleId="C5">
    <w:name w:val="页脚 Char"/>
    <w:link w:val="P6"/>
    <w:rPr>
      <w:rFonts w:ascii="Calibri" w:hAnsi="Calibri"/>
      <w:sz w:val="18"/>
    </w:rPr>
  </w:style>
  <w:style w:type="character" w:styleId="C6">
    <w:name w:val="页眉 Char"/>
    <w:link w:val="P5"/>
    <w:rPr>
      <w:rFonts w:ascii="Calibri" w:hAnsi="Calibri"/>
      <w:sz w:val="18"/>
    </w:rPr>
  </w:style>
  <w:style w:type="character" w:styleId="C7">
    <w:name w:val="标题 3 Char"/>
    <w:link w:val="P4"/>
    <w:rPr>
      <w:rFonts w:ascii="宋体" w:hAnsi="宋体"/>
      <w:b w:val="1"/>
      <w:sz w:val="27"/>
    </w:rPr>
  </w:style>
  <w:style w:type="character" w:styleId="C8">
    <w:name w:val="标题 1 Char"/>
    <w:link w:val="P2"/>
    <w:rPr>
      <w:rFonts w:ascii="宋体" w:hAnsi="宋体"/>
      <w:b w:val="1"/>
      <w:sz w:val="4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2017-01-02T22:39:00Z</dcterms:created>
  <cp:lastModifiedBy>f1TZOF\f1TZOF-</cp:lastModifiedBy>
  <dcterms:modified xsi:type="dcterms:W3CDTF">2024-08-28T01:34:33Z</dcterms:modified>
  <cp:revision>2</cp:revision>
  <dc:title>太原市水资源管理办法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2052-8.1.0.3000</vt:lpwstr>
  </property>
</Properties>
</file>