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E2400F" Type="http://schemas.openxmlformats.org/officeDocument/2006/relationships/officeDocument" Target="/word/document.xml" /><Relationship Id="coreR1CE2400F" Type="http://schemas.openxmlformats.org/package/2006/relationships/metadata/core-properties" Target="/docProps/core.xml" /><Relationship Id="customR1CE240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560"/>
        <w:rPr>
          <w:rStyle w:val="C3"/>
          <w:rFonts w:ascii="Times New Roman" w:hAnsi="Times New Roman"/>
          <w:b w:val="0"/>
          <w:color w:val="FF0000"/>
          <w:sz w:val="120"/>
        </w:rPr>
      </w:pPr>
    </w:p>
    <w:p>
      <w:pPr>
        <w:pStyle w:val="P1"/>
        <w:ind w:firstLine="0"/>
        <w:jc w:val="center"/>
        <w:rPr>
          <w:rStyle w:val="C3"/>
          <w:rFonts w:ascii="宋体" w:hAnsi="宋体"/>
          <w:sz w:val="44"/>
        </w:rPr>
      </w:pPr>
    </w:p>
    <w:p>
      <w:pPr>
        <w:pStyle w:val="P1"/>
        <w:ind w:firstLine="0"/>
        <w:jc w:val="center"/>
        <w:rPr>
          <w:rStyle w:val="C3"/>
          <w:rFonts w:ascii="宋体" w:hAnsi="宋体"/>
          <w:sz w:val="44"/>
        </w:rPr>
      </w:pPr>
      <w:r>
        <w:rPr>
          <w:rStyle w:val="C3"/>
          <w:rFonts w:ascii="宋体" w:hAnsi="宋体"/>
          <w:sz w:val="44"/>
        </w:rPr>
        <w:t>南京市人民代表大会常务委员会</w:t>
      </w:r>
    </w:p>
    <w:p>
      <w:pPr>
        <w:pStyle w:val="P1"/>
        <w:ind w:firstLine="0"/>
        <w:jc w:val="center"/>
        <w:rPr>
          <w:rStyle w:val="C3"/>
          <w:rFonts w:ascii="宋体" w:hAnsi="宋体"/>
          <w:sz w:val="44"/>
        </w:rPr>
      </w:pPr>
      <w:r>
        <w:rPr>
          <w:rStyle w:val="C3"/>
          <w:rFonts w:ascii="宋体" w:hAnsi="宋体"/>
          <w:sz w:val="44"/>
        </w:rPr>
        <w:t>关于加强跨市域轨道交通运营和执法</w:t>
      </w:r>
    </w:p>
    <w:p>
      <w:pPr>
        <w:pStyle w:val="P1"/>
        <w:ind w:firstLine="0"/>
        <w:jc w:val="center"/>
        <w:rPr>
          <w:rStyle w:val="C3"/>
          <w:rFonts w:ascii="宋体" w:hAnsi="宋体"/>
          <w:sz w:val="44"/>
        </w:rPr>
      </w:pPr>
      <w:r>
        <w:rPr>
          <w:rStyle w:val="C3"/>
          <w:rFonts w:ascii="宋体" w:hAnsi="宋体"/>
          <w:sz w:val="44"/>
        </w:rPr>
        <w:t>管理若干问题的决定</w:t>
      </w:r>
    </w:p>
    <w:p>
      <w:pPr>
        <w:pStyle w:val="P1"/>
        <w:ind w:firstLine="0"/>
        <w:jc w:val="center"/>
      </w:pPr>
      <w:r>
        <w:rPr>
          <w:rFonts w:ascii="方正姚体" w:hAnsi="方正姚体"/>
        </w:rPr>
        <w:t>（</w:t>
      </w:r>
      <w:r>
        <w:t>2021</w:t>
      </w:r>
      <w:r>
        <w:rPr>
          <w:rFonts w:ascii="方正姚体" w:hAnsi="方正姚体"/>
        </w:rPr>
        <w:t>年</w:t>
      </w:r>
      <w:r>
        <w:t>10</w:t>
      </w:r>
      <w:r>
        <w:rPr>
          <w:rFonts w:ascii="方正姚体" w:hAnsi="方正姚体"/>
        </w:rPr>
        <w:t>月</w:t>
      </w:r>
      <w:r>
        <w:t>19</w:t>
      </w:r>
      <w:r>
        <w:rPr>
          <w:rFonts w:ascii="方正姚体" w:hAnsi="方正姚体"/>
        </w:rPr>
        <w:t>日南京市第十六届人民代表大会常务</w:t>
      </w:r>
    </w:p>
    <w:p>
      <w:pPr>
        <w:pStyle w:val="P1"/>
        <w:ind w:firstLine="0"/>
        <w:jc w:val="center"/>
      </w:pPr>
      <w:r>
        <w:rPr>
          <w:rFonts w:ascii="方正姚体" w:hAnsi="方正姚体"/>
        </w:rPr>
        <w:t>委员会第三十三次会议通过</w:t>
      </w:r>
      <w:r>
        <w:t xml:space="preserve">  2021</w:t>
      </w:r>
      <w:r>
        <w:rPr>
          <w:rFonts w:ascii="方正姚体" w:hAnsi="方正姚体"/>
        </w:rPr>
        <w:t>年</w:t>
      </w:r>
      <w:r>
        <w:t>12</w:t>
      </w:r>
      <w:r>
        <w:rPr>
          <w:rFonts w:ascii="方正姚体" w:hAnsi="方正姚体"/>
        </w:rPr>
        <w:t>月</w:t>
      </w:r>
      <w:r>
        <w:t>2</w:t>
      </w:r>
      <w:r>
        <w:rPr>
          <w:rFonts w:ascii="方正姚体" w:hAnsi="方正姚体"/>
        </w:rPr>
        <w:t>日江苏省第</w:t>
      </w:r>
    </w:p>
    <w:p>
      <w:pPr>
        <w:pStyle w:val="P1"/>
        <w:ind w:firstLine="0"/>
        <w:jc w:val="center"/>
      </w:pPr>
      <w:r>
        <w:rPr>
          <w:rFonts w:ascii="方正姚体" w:hAnsi="方正姚体"/>
        </w:rPr>
        <w:t>十三届人民代表大会常务委员会第二十七次会议批准）</w:t>
      </w:r>
    </w:p>
    <w:p>
      <w:pPr>
        <w:pStyle w:val="P1"/>
        <w:ind w:firstLine="448"/>
        <w:jc w:val="center"/>
        <w:rPr>
          <w:rStyle w:val="C3"/>
          <w:rFonts w:ascii="方正仿宋简体" w:hAnsi="方正仿宋简体"/>
          <w:color w:val="FF0000"/>
        </w:rPr>
      </w:pPr>
    </w:p>
    <w:p>
      <w:pPr>
        <w:pStyle w:val="P1"/>
        <w:ind w:firstLine="640"/>
      </w:pPr>
      <w:r>
        <w:rPr>
          <w:rFonts w:ascii="方正姚体" w:hAnsi="方正姚体"/>
        </w:rPr>
        <w:t>为了统筹跨市域地铁、轻轨等城市轨道公共客运系统（以下简称轨道交通）的运营和执法管理，推进南京都市圈一体化建设，根据相关法律、法规，南京市人民代表大会常务委员会会同镇江等南京都市圈相关城市的人民代表大会常务委员会共同研究，特作如下决定：</w:t>
      </w:r>
      <w:r>
        <w:t xml:space="preserve"> </w:t>
      </w:r>
    </w:p>
    <w:p>
      <w:pPr>
        <w:pStyle w:val="P1"/>
        <w:ind w:firstLine="640"/>
      </w:pPr>
      <w:r>
        <w:rPr>
          <w:rStyle w:val="C3"/>
          <w:rFonts w:ascii="黑体" w:hAnsi="黑体"/>
        </w:rPr>
        <w:t>一、</w:t>
      </w:r>
      <w:r>
        <w:rPr>
          <w:rFonts w:ascii="方正姚体" w:hAnsi="方正姚体"/>
        </w:rPr>
        <w:t>本市行政区域内跨市域运行的轨道交通，其列车车厢内部的运营安全、设施容貌、环境卫生、乘车秩序等管理，适用本决定。</w:t>
      </w:r>
    </w:p>
    <w:p>
      <w:pPr>
        <w:pStyle w:val="P1"/>
        <w:ind w:firstLine="640"/>
      </w:pPr>
      <w:r>
        <w:rPr>
          <w:rStyle w:val="C3"/>
          <w:rFonts w:ascii="黑体" w:hAnsi="黑体"/>
        </w:rPr>
        <w:t>二、</w:t>
      </w:r>
      <w:r>
        <w:rPr>
          <w:rFonts w:ascii="方正姚体" w:hAnsi="方正姚体"/>
        </w:rPr>
        <w:t>跨市域轨道交通的运营和执法管理，应当遵循协调统一、联动共治、依法管理、安全运营的原则。</w:t>
      </w:r>
    </w:p>
    <w:p>
      <w:pPr>
        <w:pStyle w:val="P1"/>
        <w:ind w:firstLine="640"/>
      </w:pPr>
      <w:r>
        <w:rPr>
          <w:rStyle w:val="C3"/>
          <w:rFonts w:ascii="黑体" w:hAnsi="黑体"/>
        </w:rPr>
        <w:t>三、</w:t>
      </w:r>
      <w:r>
        <w:rPr>
          <w:rFonts w:ascii="方正姚体" w:hAnsi="方正姚体"/>
        </w:rPr>
        <w:t>本市人民政府会同南京都市圈相关城市人民政府联合建立协调机制，研究解决跨市域轨道交通运营和执法管理中的重大问题，开展信息共享、执法协同、跨市域突发事件应急处置合作等工作，推动区域共同治理。</w:t>
      </w:r>
    </w:p>
    <w:p>
      <w:pPr>
        <w:pStyle w:val="P1"/>
        <w:ind w:firstLine="640"/>
      </w:pPr>
      <w:r>
        <w:rPr>
          <w:rStyle w:val="C3"/>
          <w:rFonts w:ascii="黑体" w:hAnsi="黑体"/>
        </w:rPr>
        <w:t>四、</w:t>
      </w:r>
      <w:r>
        <w:rPr>
          <w:rFonts w:ascii="方正姚体" w:hAnsi="方正姚体"/>
        </w:rPr>
        <w:t>本市人民政府与跨市域轨道交通所在地设区市人民政府共同确定的轨道交通经营单位，根据本决定授权，行使轨道交通列车车厢内运营安全、设施容貌、环境卫生、乘车秩序等相应管理权限，并在授权范围内实施行政处罚。</w:t>
      </w:r>
    </w:p>
    <w:p>
      <w:pPr>
        <w:pStyle w:val="P1"/>
        <w:ind w:firstLine="640"/>
      </w:pPr>
      <w:r>
        <w:rPr>
          <w:rStyle w:val="C3"/>
          <w:rFonts w:ascii="黑体" w:hAnsi="黑体"/>
        </w:rPr>
        <w:t>五、</w:t>
      </w:r>
      <w:r>
        <w:rPr>
          <w:rFonts w:ascii="方正姚体" w:hAnsi="方正姚体"/>
        </w:rPr>
        <w:t>禁止携带易燃、易爆、有毒和有放射性、腐蚀性以及其他可能危及人身和财产安全的危险物品进入列车车厢。</w:t>
      </w:r>
    </w:p>
    <w:p>
      <w:pPr>
        <w:pStyle w:val="P1"/>
        <w:ind w:firstLine="640"/>
      </w:pPr>
      <w:r>
        <w:rPr>
          <w:rFonts w:ascii="方正姚体" w:hAnsi="方正姚体"/>
        </w:rPr>
        <w:t>禁止携带的物品目录由相关城市的行政主管部门共同协商、依法确定后予以公告，并由轨道交通经营单位在车站显著位置公示。</w:t>
      </w:r>
    </w:p>
    <w:p>
      <w:pPr>
        <w:pStyle w:val="P1"/>
        <w:ind w:firstLine="640"/>
      </w:pPr>
      <w:r>
        <w:rPr>
          <w:rStyle w:val="C3"/>
          <w:rFonts w:ascii="黑体" w:hAnsi="黑体"/>
        </w:rPr>
        <w:t>六、</w:t>
      </w:r>
      <w:r>
        <w:rPr>
          <w:rFonts w:ascii="方正姚体" w:hAnsi="方正姚体"/>
        </w:rPr>
        <w:t>禁止下列损害轨道交通列车设施设备和影响运营安全的行为：</w:t>
      </w:r>
    </w:p>
    <w:p>
      <w:pPr>
        <w:pStyle w:val="P1"/>
        <w:ind w:firstLine="640"/>
      </w:pPr>
      <w:r>
        <w:rPr>
          <w:rFonts w:ascii="方正姚体" w:hAnsi="方正姚体"/>
        </w:rPr>
        <w:t>（一）擅自操作列车车厢内有警示标志的按钮、开关装置，非紧急情况下动用应急或者安全装置；</w:t>
      </w:r>
    </w:p>
    <w:p>
      <w:pPr>
        <w:pStyle w:val="P1"/>
        <w:ind w:firstLine="640"/>
      </w:pPr>
      <w:r>
        <w:rPr>
          <w:rFonts w:ascii="方正姚体" w:hAnsi="方正姚体"/>
        </w:rPr>
        <w:t>（二）损坏和干扰机电设备、电缆、通信信号系统；</w:t>
      </w:r>
    </w:p>
    <w:p>
      <w:pPr>
        <w:pStyle w:val="P1"/>
        <w:ind w:firstLine="640"/>
      </w:pPr>
      <w:r>
        <w:rPr>
          <w:rFonts w:ascii="方正姚体" w:hAnsi="方正姚体"/>
        </w:rPr>
        <w:t>（三）阻碍车门关闭，强行上下车；</w:t>
      </w:r>
    </w:p>
    <w:p>
      <w:pPr>
        <w:pStyle w:val="P1"/>
        <w:ind w:firstLine="640"/>
      </w:pPr>
      <w:r>
        <w:rPr>
          <w:rFonts w:ascii="方正姚体" w:hAnsi="方正姚体"/>
        </w:rPr>
        <w:t>（四）其他损害轨道交通列车设施设备和影响运营安全的行为。</w:t>
      </w:r>
    </w:p>
    <w:p>
      <w:pPr>
        <w:pStyle w:val="P1"/>
        <w:ind w:firstLine="640"/>
      </w:pPr>
      <w:r>
        <w:rPr>
          <w:rStyle w:val="C3"/>
          <w:rFonts w:ascii="黑体" w:hAnsi="黑体"/>
        </w:rPr>
        <w:t>七、</w:t>
      </w:r>
      <w:r>
        <w:rPr>
          <w:rFonts w:ascii="方正姚体" w:hAnsi="方正姚体"/>
        </w:rPr>
        <w:t>在轨道交通列车车厢内，禁止下列影响轨道交通公共场所和设施容貌、环境卫生、运营秩序的行为：</w:t>
      </w:r>
    </w:p>
    <w:p>
      <w:pPr>
        <w:pStyle w:val="P1"/>
        <w:ind w:firstLine="640"/>
      </w:pPr>
      <w:r>
        <w:rPr>
          <w:rFonts w:ascii="方正姚体" w:hAnsi="方正姚体"/>
        </w:rPr>
        <w:t>（一）未经轨道交通经营单位同意，派发印刷品或者从事销售活动；</w:t>
      </w:r>
    </w:p>
    <w:p>
      <w:pPr>
        <w:pStyle w:val="P1"/>
        <w:ind w:firstLine="640"/>
      </w:pPr>
      <w:r>
        <w:rPr>
          <w:rFonts w:ascii="方正姚体" w:hAnsi="方正姚体"/>
        </w:rPr>
        <w:t>（二）随意涂写、刻画、张贴或者悬挂物品；</w:t>
      </w:r>
    </w:p>
    <w:p>
      <w:pPr>
        <w:pStyle w:val="P1"/>
        <w:ind w:firstLine="640"/>
      </w:pPr>
      <w:r>
        <w:rPr>
          <w:rFonts w:ascii="方正姚体" w:hAnsi="方正姚体"/>
        </w:rPr>
        <w:t>（三）堆放杂物；</w:t>
      </w:r>
    </w:p>
    <w:p>
      <w:pPr>
        <w:pStyle w:val="P1"/>
        <w:ind w:firstLine="640"/>
      </w:pPr>
      <w:r>
        <w:rPr>
          <w:rFonts w:ascii="方正姚体" w:hAnsi="方正姚体"/>
        </w:rPr>
        <w:t>（四）吸烟，随地吐痰、便溺、吐口香糖，乱扔果皮、纸屑等废弃物；</w:t>
      </w:r>
    </w:p>
    <w:p>
      <w:pPr>
        <w:pStyle w:val="P1"/>
        <w:ind w:firstLine="640"/>
      </w:pPr>
      <w:r>
        <w:rPr>
          <w:rFonts w:ascii="方正姚体" w:hAnsi="方正姚体"/>
        </w:rPr>
        <w:t>（五）乞讨、卖艺、躺卧、捡拾废旧物品；</w:t>
      </w:r>
    </w:p>
    <w:p>
      <w:pPr>
        <w:pStyle w:val="P1"/>
        <w:ind w:firstLine="640"/>
      </w:pPr>
      <w:r>
        <w:rPr>
          <w:rFonts w:ascii="方正姚体" w:hAnsi="方正姚体"/>
        </w:rPr>
        <w:t>（六）在列车车厢内饮食；</w:t>
      </w:r>
    </w:p>
    <w:p>
      <w:pPr>
        <w:pStyle w:val="P1"/>
        <w:ind w:firstLine="640"/>
      </w:pPr>
      <w:r>
        <w:rPr>
          <w:rFonts w:ascii="方正姚体" w:hAnsi="方正姚体"/>
        </w:rPr>
        <w:t>（七）使用燃油、燃气类以及体积或者重量超过乘客守则规定的轮椅车等代步车；</w:t>
      </w:r>
    </w:p>
    <w:p>
      <w:pPr>
        <w:pStyle w:val="P1"/>
        <w:ind w:firstLine="640"/>
      </w:pPr>
      <w:r>
        <w:rPr>
          <w:rFonts w:ascii="方正姚体" w:hAnsi="方正姚体"/>
        </w:rPr>
        <w:t>（八）携带充气气球、自行车（含折叠式自行车）；</w:t>
      </w:r>
    </w:p>
    <w:p>
      <w:pPr>
        <w:pStyle w:val="P1"/>
        <w:ind w:firstLine="640"/>
      </w:pPr>
      <w:r>
        <w:rPr>
          <w:rFonts w:ascii="方正姚体" w:hAnsi="方正姚体"/>
        </w:rPr>
        <w:t>（九）携带活禽和猫、狗等宠物以及其他可能妨碍轨道交通运营的动物，盲人携带导盲犬除外；</w:t>
      </w:r>
    </w:p>
    <w:p>
      <w:pPr>
        <w:pStyle w:val="P1"/>
        <w:ind w:firstLine="640"/>
      </w:pPr>
      <w:r>
        <w:rPr>
          <w:rFonts w:ascii="方正姚体" w:hAnsi="方正姚体"/>
        </w:rPr>
        <w:t>（十）使用滑轮鞋、滑板等；</w:t>
      </w:r>
    </w:p>
    <w:p>
      <w:pPr>
        <w:pStyle w:val="P1"/>
        <w:ind w:firstLine="640"/>
      </w:pPr>
      <w:r>
        <w:rPr>
          <w:rFonts w:ascii="方正姚体" w:hAnsi="方正姚体"/>
        </w:rPr>
        <w:t>（十一）其他影响轨道交通列车车厢内公共场所和设施容貌、环境卫生、运营秩序的行为。</w:t>
      </w:r>
    </w:p>
    <w:p>
      <w:pPr>
        <w:pStyle w:val="P1"/>
        <w:ind w:firstLine="640"/>
      </w:pPr>
      <w:r>
        <w:rPr>
          <w:rStyle w:val="C3"/>
          <w:rFonts w:ascii="黑体" w:hAnsi="黑体"/>
        </w:rPr>
        <w:t>八、</w:t>
      </w:r>
      <w:r>
        <w:rPr>
          <w:rFonts w:ascii="方正姚体" w:hAnsi="方正姚体"/>
        </w:rPr>
        <w:t>违反本决定第五条、第六条规定的，轨道交通经营单位有权对行为人进行劝阻和制止；造成损失的，依法承担民事责任；构成违反治安管理行为的，由公安机关依法给予治安管理处罚；构成犯罪的，依法追究刑事责任。</w:t>
      </w:r>
    </w:p>
    <w:p>
      <w:pPr>
        <w:pStyle w:val="P1"/>
        <w:ind w:firstLine="640"/>
      </w:pPr>
      <w:r>
        <w:rPr>
          <w:rStyle w:val="C3"/>
          <w:rFonts w:ascii="黑体" w:hAnsi="黑体"/>
        </w:rPr>
        <w:t>九、</w:t>
      </w:r>
      <w:r>
        <w:rPr>
          <w:rFonts w:ascii="方正姚体" w:hAnsi="方正姚体"/>
        </w:rPr>
        <w:t>违反本决定第七条第一项至第三项规定的，由轨道交通经营单位责令改正，可以对单位处以二百元以上一千元以下罚款，对个人处以三十元以上二百元以下罚款。</w:t>
      </w:r>
    </w:p>
    <w:p>
      <w:pPr>
        <w:pStyle w:val="P1"/>
        <w:ind w:firstLine="616"/>
      </w:pPr>
      <w:r>
        <w:rPr>
          <w:rFonts w:ascii="方正姚体" w:hAnsi="方正姚体"/>
        </w:rPr>
        <w:t>违反本决定第七条第四项至第十项规定的，由轨道交通经营单位责令改正，可以处以警告或者二十元以上一百元以下罚款。</w:t>
      </w:r>
    </w:p>
    <w:p>
      <w:pPr>
        <w:pStyle w:val="P1"/>
        <w:ind w:firstLine="640"/>
      </w:pPr>
      <w:r>
        <w:rPr>
          <w:rStyle w:val="C3"/>
          <w:rFonts w:ascii="黑体" w:hAnsi="黑体"/>
        </w:rPr>
        <w:t>十、</w:t>
      </w:r>
      <w:r>
        <w:rPr>
          <w:rFonts w:ascii="方正姚体" w:hAnsi="方正姚体"/>
        </w:rPr>
        <w:t>本市行政区域内轨道交通的规划、建设等其他活动，以及车站、隧道、轨道等非列车车厢区域内的活动，其监督管理适用《南京市轨道交通条例》。</w:t>
      </w:r>
    </w:p>
    <w:p>
      <w:pPr>
        <w:pStyle w:val="P1"/>
        <w:ind w:firstLine="640"/>
        <w:jc w:val="left"/>
      </w:pPr>
      <w:r>
        <w:rPr>
          <w:rStyle w:val="C3"/>
          <w:rFonts w:ascii="黑体" w:hAnsi="黑体"/>
        </w:rPr>
        <w:t>十一、</w:t>
      </w:r>
      <w:r>
        <w:rPr>
          <w:rFonts w:ascii="方正姚体" w:hAnsi="方正姚体"/>
        </w:rPr>
        <w:t>本决定自</w:t>
      </w:r>
      <w:r>
        <w:t>2022</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880"/>
        <w:jc w:val="center"/>
        <w:rPr>
          <w:rStyle w:val="C3"/>
          <w:sz w:val="44"/>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标题"/>
    <w:basedOn w:val="P1"/>
    <w:next w:val="P12"/>
    <w:qFormat/>
    <w:pPr>
      <w:spacing w:before="240" w:after="60"/>
      <w:jc w:val="center"/>
      <w:outlineLvl w:val="0"/>
    </w:pPr>
    <w:rPr>
      <w:rFonts w:ascii="Cambria" w:hAnsi="Cambria"/>
      <w:b w:val="1"/>
      <w:sz w:val="32"/>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9"/>
    <w:pPr>
      <w:spacing w:lineRule="auto" w:line="240"/>
      <w:ind w:firstLine="0"/>
    </w:pPr>
    <w:rPr>
      <w:rFonts w:ascii="宋体" w:hAnsi="宋体"/>
      <w:sz w:val="21"/>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正文文本缩进 2"/>
    <w:basedOn w:val="P1"/>
    <w:next w:val="P16"/>
    <w:pPr>
      <w:spacing w:lineRule="atLeast" w:line="567"/>
      <w:ind w:hanging="1120" w:left="1120"/>
    </w:pPr>
    <w:rPr>
      <w:sz w:val="28"/>
    </w:rPr>
  </w:style>
  <w:style w:type="paragraph" w:styleId="P17">
    <w:name w:val="正文文本缩进"/>
    <w:basedOn w:val="P1"/>
    <w:next w:val="P17"/>
    <w:pPr>
      <w:spacing w:lineRule="exact" w:line="500"/>
      <w:ind w:firstLine="630"/>
    </w:pPr>
    <w:rPr>
      <w:rFonts w:ascii="仿宋_GB2312" w:hAnsi="仿宋_GB2312"/>
    </w:rPr>
  </w:style>
  <w:style w:type="paragraph" w:styleId="P18">
    <w:name w:val="_Style 7"/>
    <w:basedOn w:val="P1"/>
    <w:next w:val="P18"/>
    <w:pPr>
      <w:widowControl w:val="1"/>
      <w:spacing w:lineRule="exact" w:line="240" w:after="160"/>
      <w:jc w:val="left"/>
    </w:pPr>
    <w:rPr/>
  </w:style>
  <w:style w:type="paragraph" w:styleId="P19">
    <w:name w:val="List Paragraph"/>
    <w:basedOn w:val="P1"/>
    <w:next w:val="P19"/>
    <w:qFormat/>
    <w:pPr>
      <w:ind w:firstLine="420"/>
    </w:pPr>
    <w:rPr>
      <w:rFonts w:ascii="Calibri" w:hAnsi="Calibri"/>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标题5"/>
    <w:basedOn w:val="P1"/>
    <w:next w:val="P1"/>
    <w:pPr/>
    <w:rPr>
      <w:rFonts w:ascii="方正楷体简体" w:hAnsi="方正楷体简体"/>
    </w:rPr>
  </w:style>
  <w:style w:type="paragraph" w:styleId="P25">
    <w:name w:val="标题2"/>
    <w:basedOn w:val="P1"/>
    <w:next w:val="P1"/>
    <w:pPr>
      <w:ind w:firstLine="0"/>
      <w:jc w:val="center"/>
    </w:pPr>
    <w:rPr>
      <w:rFonts w:ascii="方正楷体_GBK" w:hAnsi="方正楷体_GBK"/>
    </w:rPr>
  </w:style>
  <w:style w:type="paragraph" w:styleId="P26">
    <w:name w:val="Char Char Char Char Char Char1 Char Char Char Char Char Char Char"/>
    <w:basedOn w:val="P1"/>
    <w:next w:val="P26"/>
    <w:pPr>
      <w:spacing w:lineRule="auto" w:line="240"/>
      <w:ind w:firstLine="0"/>
    </w:pPr>
    <w:rPr>
      <w:sz w:val="21"/>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抄送栏"/>
    <w:basedOn w:val="P1"/>
    <w:next w:val="P28"/>
    <w:pPr>
      <w:ind w:hanging="953" w:left="953"/>
    </w:pPr>
    <w:rPr/>
  </w:style>
  <w:style w:type="paragraph" w:styleId="P29">
    <w:name w:val="Char Char1 Char Char"/>
    <w:basedOn w:val="P1"/>
    <w:next w:val="P29"/>
    <w:pPr>
      <w:widowControl w:val="1"/>
      <w:spacing w:lineRule="exact" w:line="240" w:after="160"/>
      <w:jc w:val="left"/>
    </w:pPr>
    <w:rPr>
      <w:rFonts w:ascii="Arial" w:hAnsi="Arial"/>
      <w:b w:val="1"/>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UserStyle_0"/>
    <w:basedOn w:val="P1"/>
    <w:next w:val="P31"/>
    <w:pPr>
      <w:spacing w:lineRule="atLeast" w:line="590"/>
      <w:ind w:firstLine="624"/>
    </w:pPr>
    <w:rPr>
      <w:rFonts w:ascii="Times New Roman" w:hAnsi="Times New Roman"/>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p0"/>
    <w:basedOn w:val="P1"/>
    <w:next w:val="P34"/>
    <w:pPr>
      <w:widowControl w:val="1"/>
    </w:pPr>
    <w:rPr>
      <w:rFonts w:ascii="Calibri" w:hAnsi="Calibri"/>
    </w:rPr>
  </w:style>
  <w:style w:type="paragraph" w:styleId="P35">
    <w:name w:val="标题3"/>
    <w:basedOn w:val="P1"/>
    <w:next w:val="P1"/>
    <w:pPr/>
    <w:rPr>
      <w:rFonts w:ascii="方正黑体简体" w:hAnsi="方正黑体简体"/>
    </w:rPr>
  </w:style>
  <w:style w:type="paragraph" w:styleId="P36">
    <w:name w:val="msoplaintextcxsplast"/>
    <w:basedOn w:val="P1"/>
    <w:next w:val="P36"/>
    <w:pPr>
      <w:widowControl w:val="1"/>
      <w:spacing w:before="100" w:after="100" w:beforeAutospacing="1" w:afterAutospacing="1"/>
      <w:jc w:val="left"/>
    </w:pPr>
    <w:rPr>
      <w:rFonts w:ascii="宋体" w:hAnsi="宋体"/>
      <w:sz w:val="24"/>
    </w:rPr>
  </w:style>
  <w:style w:type="paragraph" w:styleId="P37">
    <w:name w:val="Char Char Char"/>
    <w:basedOn w:val="P1"/>
    <w:next w:val="P37"/>
    <w:pPr/>
    <w:rPr>
      <w:rFonts w:ascii="Tahoma" w:hAnsi="Tahoma"/>
      <w:sz w:val="24"/>
    </w:rPr>
  </w:style>
  <w:style w:type="paragraph" w:styleId="P38">
    <w:name w:val="标题4"/>
    <w:basedOn w:val="P3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2021-12-22T09:31:00Z</dcterms:created>
  <cp:lastModifiedBy>f1TZOF\f1TZOF-</cp:lastModifiedBy>
  <cp:lastPrinted>2021-10-20T03:44:00Z</cp:lastPrinted>
  <dcterms:modified xsi:type="dcterms:W3CDTF">2024-08-28T01:34:35Z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