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2815A29" Type="http://schemas.openxmlformats.org/officeDocument/2006/relationships/officeDocument" Target="/word/document.xml" /><Relationship Id="coreR42815A29" Type="http://schemas.openxmlformats.org/package/2006/relationships/metadata/core-properties" Target="/docProps/core.xml" /><Relationship Id="customR42815A2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jc w:val="center"/>
        <w:rPr>
          <w:rStyle w:val="C3"/>
          <w:rFonts w:ascii="Times New Roman" w:hAnsi="Times New Roman"/>
        </w:rPr>
      </w:pPr>
    </w:p>
    <w:p>
      <w:pPr>
        <w:pStyle w:val="P1"/>
        <w:ind w:firstLine="640"/>
        <w:jc w:val="center"/>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苏州市古建筑保护条例</w:t>
      </w:r>
    </w:p>
    <w:p>
      <w:pPr>
        <w:pStyle w:val="P1"/>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2002</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27</w:t>
      </w:r>
      <w:r>
        <w:rPr>
          <w:rStyle w:val="C3"/>
          <w:rFonts w:ascii="方正姚体" w:hAnsi="方正姚体"/>
        </w:rPr>
        <w:t>日苏州市第十二届人民代表大会常务委员会第三十八次会议制定</w:t>
      </w:r>
      <w:r>
        <w:rPr>
          <w:rStyle w:val="C3"/>
          <w:rFonts w:ascii="Times New Roman" w:hAnsi="Times New Roman"/>
        </w:rPr>
        <w:t xml:space="preserve">  2002</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23</w:t>
      </w:r>
      <w:r>
        <w:rPr>
          <w:rStyle w:val="C3"/>
          <w:rFonts w:ascii="方正姚体" w:hAnsi="方正姚体"/>
        </w:rPr>
        <w:t>日江苏省第九届人民代表大会常务委员会第三十二次会议批准</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2022</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25</w:t>
      </w:r>
      <w:r>
        <w:rPr>
          <w:rStyle w:val="C3"/>
          <w:rFonts w:ascii="方正姚体" w:hAnsi="方正姚体"/>
        </w:rPr>
        <w:t>日苏州市第十七届人民代表大会常务委员会第三次会议通过，</w:t>
      </w:r>
      <w:r>
        <w:rPr>
          <w:rStyle w:val="C3"/>
          <w:rFonts w:ascii="Times New Roman" w:hAnsi="Times New Roman"/>
        </w:rPr>
        <w:t>2022</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日江苏省第十三届人民代表大会常务委员会第三十二次会议批准的《苏州市人民代表大会常务委员会关于修改〈苏州市古建筑保护条例〉等三件地方性法规的决定》修正）</w:t>
      </w:r>
      <w:r>
        <w:rPr>
          <w:rStyle w:val="C3"/>
          <w:rFonts w:ascii="Times New Roman" w:hAnsi="Times New Roman"/>
        </w:rPr>
        <w:t xml:space="preserve"> </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为了加强对古建筑的保护，维护历史文化名城、名镇风貌，继承优秀历史文化遗产，根据有关法律、法规的规定，结合本市实际，制定本条例。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本市行政区域内古建筑的保护适用本条例。</w:t>
      </w:r>
    </w:p>
    <w:p>
      <w:pPr>
        <w:pStyle w:val="P1"/>
        <w:ind w:firstLine="640"/>
        <w:rPr>
          <w:rStyle w:val="C3"/>
          <w:rFonts w:ascii="Times New Roman" w:hAnsi="Times New Roman"/>
        </w:rPr>
      </w:pPr>
      <w:r>
        <w:rPr>
          <w:rStyle w:val="C3"/>
          <w:rFonts w:ascii="方正姚体" w:hAnsi="方正姚体"/>
        </w:rPr>
        <w:t>法律、法规对不可移动文物已有规定的，从其规定。</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本条例所称古建筑，是指尚未公布为文物保护单位的不可移动文物中的下列建筑物、构筑物：</w:t>
      </w:r>
    </w:p>
    <w:p>
      <w:pPr>
        <w:pStyle w:val="P1"/>
        <w:ind w:firstLine="640"/>
        <w:rPr>
          <w:rStyle w:val="C3"/>
          <w:rFonts w:ascii="Times New Roman" w:hAnsi="Times New Roman"/>
        </w:rPr>
      </w:pPr>
      <w:r>
        <w:rPr>
          <w:rStyle w:val="C3"/>
          <w:rFonts w:ascii="方正姚体" w:hAnsi="方正姚体"/>
        </w:rPr>
        <w:t>（一）建于</w:t>
      </w:r>
      <w:r>
        <w:rPr>
          <w:rStyle w:val="C3"/>
          <w:rFonts w:ascii="Times New Roman" w:hAnsi="Times New Roman"/>
        </w:rPr>
        <w:t>1911</w:t>
      </w:r>
      <w:r>
        <w:rPr>
          <w:rStyle w:val="C3"/>
          <w:rFonts w:ascii="方正姚体" w:hAnsi="方正姚体"/>
        </w:rPr>
        <w:t>年以前，具有历史、科学、艺术价值的民居、寺庙、祠堂、义庄、会馆、牌坊、桥梁、驳岸、城墙、古井等建筑物、构筑物；</w:t>
      </w:r>
    </w:p>
    <w:p>
      <w:pPr>
        <w:pStyle w:val="P1"/>
        <w:ind w:firstLine="640"/>
        <w:rPr>
          <w:rStyle w:val="C3"/>
          <w:rFonts w:ascii="Times New Roman" w:hAnsi="Times New Roman"/>
        </w:rPr>
      </w:pPr>
      <w:r>
        <w:rPr>
          <w:rStyle w:val="C3"/>
          <w:rFonts w:ascii="方正姚体" w:hAnsi="方正姚体"/>
        </w:rPr>
        <w:t>（二）建于</w:t>
      </w:r>
      <w:r>
        <w:rPr>
          <w:rStyle w:val="C3"/>
          <w:rFonts w:ascii="Times New Roman" w:hAnsi="Times New Roman"/>
        </w:rPr>
        <w:t>1949</w:t>
      </w:r>
      <w:r>
        <w:rPr>
          <w:rStyle w:val="C3"/>
          <w:rFonts w:ascii="方正姚体" w:hAnsi="方正姚体"/>
        </w:rPr>
        <w:t>年以前，具有重要纪念意义、教育意义的优秀建筑和名人故居。</w:t>
      </w:r>
    </w:p>
    <w:p>
      <w:pPr>
        <w:pStyle w:val="P1"/>
        <w:ind w:firstLine="640"/>
        <w:rPr>
          <w:rStyle w:val="C3"/>
          <w:rFonts w:ascii="Times New Roman" w:hAnsi="Times New Roman"/>
        </w:rPr>
      </w:pPr>
      <w:r>
        <w:rPr>
          <w:rStyle w:val="C3"/>
          <w:rFonts w:ascii="方正姚体" w:hAnsi="方正姚体"/>
        </w:rPr>
        <w:t>古建筑由文物行政主管部门组织专家鉴定、确认，报市或者县级市人民政府核定公布，列为控制保护建筑，并设立保护标志。</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各级人民政府应当加强对古建筑保护工作的领导，将古建筑保护工作纳入国民经济和社会发展规划、国土空间规划。</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文物行政主管部门主管本行政区域内古建筑的保护工作。</w:t>
      </w:r>
    </w:p>
    <w:p>
      <w:pPr>
        <w:pStyle w:val="P1"/>
        <w:ind w:firstLine="640"/>
        <w:rPr>
          <w:rStyle w:val="C3"/>
          <w:rFonts w:ascii="Times New Roman" w:hAnsi="Times New Roman"/>
        </w:rPr>
      </w:pPr>
      <w:r>
        <w:rPr>
          <w:rStyle w:val="C3"/>
          <w:rFonts w:ascii="方正姚体" w:hAnsi="方正姚体"/>
        </w:rPr>
        <w:t>自然资源和规划部门负责本行政区域内保护古建筑的规划工作。</w:t>
      </w:r>
    </w:p>
    <w:p>
      <w:pPr>
        <w:pStyle w:val="P1"/>
        <w:ind w:firstLine="640"/>
        <w:rPr>
          <w:rStyle w:val="C3"/>
          <w:rFonts w:ascii="Times New Roman" w:hAnsi="Times New Roman"/>
        </w:rPr>
      </w:pPr>
      <w:r>
        <w:rPr>
          <w:rStyle w:val="C3"/>
          <w:rFonts w:ascii="方正姚体" w:hAnsi="方正姚体"/>
        </w:rPr>
        <w:t>发展和改革、教育、民族宗教事务、公安、财政、住房和城乡建设、园林和绿化管理、城市管理、市场监督管理、海关等有关部门，按照各自的职责，做好古建筑的有关保护工作。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任何单位和个人都有依法保护古建筑及其附属设施的义务，对破坏、损害古建筑的行为有权进行劝阻、检举和控告。</w:t>
      </w:r>
    </w:p>
    <w:p>
      <w:pPr>
        <w:pStyle w:val="P1"/>
        <w:ind w:firstLine="640"/>
        <w:rPr>
          <w:rStyle w:val="C3"/>
          <w:rFonts w:ascii="Times New Roman" w:hAnsi="Times New Roman"/>
        </w:rPr>
      </w:pPr>
      <w:r>
        <w:rPr>
          <w:rStyle w:val="C3"/>
          <w:rFonts w:ascii="方正姚体" w:hAnsi="方正姚体"/>
        </w:rPr>
        <w:t>对在古建筑保护和管理工作中做出显著成绩的单位和个人，由当地人民政府或者文物行政主管部门给予表彰、奖励。</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古建筑应当按照下列规定确定保护管理责任人：</w:t>
      </w:r>
    </w:p>
    <w:p>
      <w:pPr>
        <w:pStyle w:val="P1"/>
        <w:ind w:firstLine="640"/>
        <w:rPr>
          <w:rStyle w:val="C3"/>
          <w:rFonts w:ascii="Times New Roman" w:hAnsi="Times New Roman"/>
        </w:rPr>
      </w:pPr>
      <w:r>
        <w:rPr>
          <w:rStyle w:val="C3"/>
          <w:rFonts w:ascii="方正姚体" w:hAnsi="方正姚体"/>
        </w:rPr>
        <w:t>（一）古建筑为私有的，所有人为保护管理责任人；</w:t>
      </w:r>
    </w:p>
    <w:p>
      <w:pPr>
        <w:pStyle w:val="P1"/>
        <w:ind w:firstLine="640"/>
        <w:rPr>
          <w:rStyle w:val="C3"/>
          <w:rFonts w:ascii="Times New Roman" w:hAnsi="Times New Roman"/>
        </w:rPr>
      </w:pPr>
      <w:r>
        <w:rPr>
          <w:rStyle w:val="C3"/>
          <w:rFonts w:ascii="方正姚体" w:hAnsi="方正姚体"/>
        </w:rPr>
        <w:t>（二）古建筑为非私有的，使用单位为保护管理责任人；作为民居使用的，管理单位为第一保护管理责任人，使用人为第二保护管理责任人；</w:t>
      </w:r>
    </w:p>
    <w:p>
      <w:pPr>
        <w:pStyle w:val="P1"/>
        <w:ind w:firstLine="640"/>
        <w:rPr>
          <w:rStyle w:val="C3"/>
          <w:rFonts w:ascii="Times New Roman" w:hAnsi="Times New Roman"/>
        </w:rPr>
      </w:pPr>
      <w:r>
        <w:rPr>
          <w:rStyle w:val="C3"/>
          <w:rFonts w:ascii="方正姚体" w:hAnsi="方正姚体"/>
        </w:rPr>
        <w:t>（三）没有管理单位的古建筑，由所在地的区、镇人民政府确定管理单位，管理单位为保护管理责任人。</w:t>
      </w:r>
    </w:p>
    <w:p>
      <w:pPr>
        <w:pStyle w:val="P1"/>
        <w:ind w:firstLine="640"/>
        <w:rPr>
          <w:rStyle w:val="C3"/>
          <w:rFonts w:ascii="Times New Roman" w:hAnsi="Times New Roman"/>
        </w:rPr>
      </w:pPr>
      <w:r>
        <w:rPr>
          <w:rStyle w:val="C3"/>
          <w:rFonts w:ascii="方正姚体" w:hAnsi="方正姚体"/>
        </w:rPr>
        <w:t>文物行政主管部门应当与保护管理责任人签订保护管理责任书。保护管理责任人变更时，应当到文物行政主管部门办理保护管理责任转移手续。</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古建筑保护管理责任人应当履行下列职责：</w:t>
      </w:r>
    </w:p>
    <w:p>
      <w:pPr>
        <w:pStyle w:val="P1"/>
        <w:ind w:firstLine="640"/>
        <w:rPr>
          <w:rStyle w:val="C3"/>
          <w:rFonts w:ascii="Times New Roman" w:hAnsi="Times New Roman"/>
        </w:rPr>
      </w:pPr>
      <w:r>
        <w:rPr>
          <w:rStyle w:val="C3"/>
          <w:rFonts w:ascii="方正姚体" w:hAnsi="方正姚体"/>
        </w:rPr>
        <w:t>（一）按照古建筑保护的要求进行日常养护、修缮；</w:t>
      </w:r>
    </w:p>
    <w:p>
      <w:pPr>
        <w:pStyle w:val="P1"/>
        <w:ind w:firstLine="640"/>
        <w:rPr>
          <w:rStyle w:val="C3"/>
          <w:rFonts w:ascii="Times New Roman" w:hAnsi="Times New Roman"/>
        </w:rPr>
      </w:pPr>
      <w:r>
        <w:rPr>
          <w:rStyle w:val="C3"/>
          <w:rFonts w:ascii="方正姚体" w:hAnsi="方正姚体"/>
        </w:rPr>
        <w:t>（二）落实防火、防盗等安全措施；</w:t>
      </w:r>
    </w:p>
    <w:p>
      <w:pPr>
        <w:pStyle w:val="P1"/>
        <w:ind w:firstLine="640"/>
        <w:rPr>
          <w:rStyle w:val="C3"/>
          <w:rFonts w:ascii="Times New Roman" w:hAnsi="Times New Roman"/>
        </w:rPr>
      </w:pPr>
      <w:r>
        <w:rPr>
          <w:rStyle w:val="C3"/>
          <w:rFonts w:ascii="方正姚体" w:hAnsi="方正姚体"/>
        </w:rPr>
        <w:t>（三）接受文物行政主管部门有关古建筑保护的业务指导和培训。</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古建筑比较集中的街道、镇和村可以建立保护组织，协助做好古建筑的保护工作。</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文物行政主管部门应当会同自然资源和规划部门划定古建筑保护范围，并可以根据实际需要划定相应的风貌协调保护区。</w:t>
      </w:r>
    </w:p>
    <w:p>
      <w:pPr>
        <w:pStyle w:val="P1"/>
        <w:ind w:firstLine="640"/>
        <w:rPr>
          <w:rStyle w:val="C3"/>
          <w:rFonts w:ascii="Times New Roman" w:hAnsi="Times New Roman"/>
        </w:rPr>
      </w:pPr>
      <w:r>
        <w:rPr>
          <w:rStyle w:val="C3"/>
          <w:rFonts w:ascii="方正姚体" w:hAnsi="方正姚体"/>
        </w:rPr>
        <w:t>古建筑比较集中的区域，自然资源和规划部门应当会同文物行政主管部门制定古建筑整体保护规划。</w:t>
      </w:r>
    </w:p>
    <w:p>
      <w:pPr>
        <w:pStyle w:val="P1"/>
        <w:ind w:firstLine="640"/>
        <w:rPr>
          <w:rStyle w:val="C3"/>
          <w:rFonts w:ascii="Times New Roman" w:hAnsi="Times New Roman"/>
        </w:rPr>
      </w:pPr>
      <w:r>
        <w:rPr>
          <w:rStyle w:val="C3"/>
          <w:rFonts w:ascii="方正姚体" w:hAnsi="方正姚体"/>
        </w:rPr>
        <w:t>在古建筑风貌协调保护区或者古建筑比较集中的区域内进行建设的，不得破坏古建筑的环境风貌，其建设方案应当征得文物行政主管部门同意后，报自然资源和规划部门批准。</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古建筑不得擅自迁移或者拆除，确需迁移的，应当征得文物行政主管部门同意后，报自然资源和规划部门批准；确需拆除的，应当事先征得省文物行政主管部门同意。</w:t>
      </w:r>
    </w:p>
    <w:p>
      <w:pPr>
        <w:pStyle w:val="P1"/>
        <w:ind w:firstLine="640"/>
        <w:rPr>
          <w:rStyle w:val="C3"/>
          <w:rFonts w:ascii="Times New Roman" w:hAnsi="Times New Roman"/>
        </w:rPr>
      </w:pPr>
      <w:r>
        <w:rPr>
          <w:rStyle w:val="C3"/>
          <w:rFonts w:ascii="方正姚体" w:hAnsi="方正姚体"/>
        </w:rPr>
        <w:t>对需要迁移或者拆除的古建筑，实施单位应当确定迁移或者拆除的方案，做好测绘、文字记录和摄影、摄像等资料工作，落实古建筑构件保管措施。拆除的古建筑构件不得擅自出售，应当报请文物行政主管部门处理。</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在房屋拆除过程中发现疑似古建筑的，拆除实施人应当立即停止施工，保护现场，并及时向文物行政主管部门报告，文物行政主管部门应当及时依法处理。</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修缮古建筑应当遵守不改变原状原则，不得任意改变和破坏原有建筑的布局、结构，不得任意改建、扩建。</w:t>
      </w:r>
    </w:p>
    <w:p>
      <w:pPr>
        <w:pStyle w:val="P1"/>
        <w:ind w:firstLine="640"/>
        <w:rPr>
          <w:rStyle w:val="C3"/>
          <w:rFonts w:ascii="Times New Roman" w:hAnsi="Times New Roman"/>
        </w:rPr>
      </w:pPr>
      <w:r>
        <w:rPr>
          <w:rStyle w:val="C3"/>
          <w:rFonts w:ascii="方正姚体" w:hAnsi="方正姚体"/>
        </w:rPr>
        <w:t>除经常性保养维护和抢险加固工程外，古建筑的重点修缮，局部复原，建造保护性建筑物、构筑物等工程，应当经文物行政主管部门批准。</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单位和个人自筹资金修缮古建筑的，当地人民政府应当根据其修缮的面积和程度给予奖励；古建筑为国有的，可以允许其在一定年限内免费使用。</w:t>
      </w:r>
    </w:p>
    <w:p>
      <w:pPr>
        <w:pStyle w:val="P1"/>
        <w:ind w:firstLine="640"/>
        <w:rPr>
          <w:rStyle w:val="C3"/>
          <w:rFonts w:ascii="Times New Roman" w:hAnsi="Times New Roman"/>
        </w:rPr>
      </w:pPr>
      <w:r>
        <w:rPr>
          <w:rStyle w:val="C3"/>
          <w:rFonts w:ascii="方正姚体" w:hAnsi="方正姚体"/>
        </w:rPr>
        <w:t>经与非国有的古建筑的所有人协商一致，市、县级市（区）人民政府可以置换或者购买该古建筑。</w:t>
      </w:r>
    </w:p>
    <w:p>
      <w:pPr>
        <w:pStyle w:val="P1"/>
        <w:ind w:firstLine="640"/>
        <w:rPr>
          <w:rStyle w:val="C3"/>
          <w:rFonts w:ascii="Times New Roman" w:hAnsi="Times New Roman"/>
        </w:rPr>
      </w:pPr>
      <w:r>
        <w:rPr>
          <w:rStyle w:val="C3"/>
          <w:rFonts w:ascii="方正姚体" w:hAnsi="方正姚体"/>
        </w:rPr>
        <w:t>非国有的古建筑有损毁危险，所有人具备修缮能力而拒不履行修缮义务的，当地人民政府可以给予抢救修缮，所需费用由所有人负担。</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有关单位和个人可以依法购买或者租用古建筑。</w:t>
      </w:r>
    </w:p>
    <w:p>
      <w:pPr>
        <w:pStyle w:val="P1"/>
        <w:ind w:firstLine="640"/>
        <w:rPr>
          <w:rStyle w:val="C3"/>
          <w:rFonts w:ascii="Times New Roman" w:hAnsi="Times New Roman"/>
        </w:rPr>
      </w:pPr>
      <w:r>
        <w:rPr>
          <w:rStyle w:val="C3"/>
          <w:rFonts w:ascii="方正姚体" w:hAnsi="方正姚体"/>
        </w:rPr>
        <w:t>古建筑作为参观游览场所和经营活动场所的，应当履行相关法定程序。</w:t>
      </w:r>
    </w:p>
    <w:p>
      <w:pPr>
        <w:pStyle w:val="P1"/>
        <w:ind w:firstLine="640"/>
        <w:rPr>
          <w:rStyle w:val="C3"/>
          <w:rFonts w:ascii="Times New Roman" w:hAnsi="Times New Roman"/>
        </w:rPr>
      </w:pPr>
      <w:r>
        <w:rPr>
          <w:rStyle w:val="C3"/>
          <w:rFonts w:ascii="方正姚体" w:hAnsi="方正姚体"/>
        </w:rPr>
        <w:t>古建筑不得超负荷使用。作为民居使用的，可以参照房屋征收补偿的有关规定，逐步迁移居住人口，改善居住环境。</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不得在古建筑内外乱搭建或者堆放易燃易爆物品。</w:t>
      </w:r>
    </w:p>
    <w:p>
      <w:pPr>
        <w:pStyle w:val="P1"/>
        <w:ind w:firstLine="640"/>
        <w:rPr>
          <w:rStyle w:val="C3"/>
          <w:rFonts w:ascii="Times New Roman" w:hAnsi="Times New Roman"/>
        </w:rPr>
      </w:pPr>
      <w:r>
        <w:rPr>
          <w:rStyle w:val="C3"/>
          <w:rFonts w:ascii="方正姚体" w:hAnsi="方正姚体"/>
        </w:rPr>
        <w:t>不得在古建筑及其设施上刻划、涂污。</w:t>
      </w:r>
    </w:p>
    <w:p>
      <w:pPr>
        <w:pStyle w:val="P1"/>
        <w:ind w:firstLine="640"/>
        <w:rPr>
          <w:rStyle w:val="C3"/>
          <w:rFonts w:ascii="Times New Roman" w:hAnsi="Times New Roman"/>
        </w:rPr>
      </w:pPr>
      <w:r>
        <w:rPr>
          <w:rStyle w:val="C3"/>
          <w:rFonts w:ascii="方正姚体" w:hAnsi="方正姚体"/>
        </w:rPr>
        <w:t>禁止走私、盗窃古建筑构件和附属物。公安、市场监督管理、海关等部门依法没收的古建筑构件和附属物，应当及时无偿移交当地文物行政主管部门处理。需要立案的，结案后应当立即无偿移交。</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各级人民政府应当每年在财政预算内安排古建筑保护专项经费，用于古建筑的修缮、征购和古建筑保护奖励。</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鼓励单位和个人资助古建筑的保护。鼓励将私有的古建筑捐赠给国家。</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有下列行为之一，尚不构成犯罪的，由文物行政主管部门按照以下规定处罚：</w:t>
      </w:r>
    </w:p>
    <w:p>
      <w:pPr>
        <w:pStyle w:val="P1"/>
        <w:ind w:firstLine="640"/>
        <w:rPr>
          <w:rStyle w:val="C3"/>
          <w:rFonts w:ascii="Times New Roman" w:hAnsi="Times New Roman"/>
        </w:rPr>
      </w:pPr>
      <w:r>
        <w:rPr>
          <w:rStyle w:val="C3"/>
          <w:rFonts w:ascii="方正姚体" w:hAnsi="方正姚体"/>
        </w:rPr>
        <w:t>（一）违反本条例第八条规定，责任人不履行保护管理职责造成古建筑损毁、坍塌的，责令其恢复原状；情节严重的，对单位处以五千元以上五万元以下罚款，对个人处以五百元以上五千元以下罚款；</w:t>
      </w:r>
    </w:p>
    <w:p>
      <w:pPr>
        <w:pStyle w:val="P1"/>
        <w:ind w:firstLine="640"/>
        <w:rPr>
          <w:rStyle w:val="C3"/>
          <w:rFonts w:ascii="Times New Roman" w:hAnsi="Times New Roman"/>
        </w:rPr>
      </w:pPr>
      <w:r>
        <w:rPr>
          <w:rStyle w:val="C3"/>
          <w:rFonts w:ascii="方正姚体" w:hAnsi="方正姚体"/>
        </w:rPr>
        <w:t>（二）违反本条例第十一条第二款规定，拆除的古建筑构件未报请文物行政主管部门处理的，责令改正，处以二千元以上一万元以下罚款；</w:t>
      </w:r>
    </w:p>
    <w:p>
      <w:pPr>
        <w:pStyle w:val="P1"/>
        <w:ind w:firstLine="640"/>
        <w:rPr>
          <w:rStyle w:val="C3"/>
          <w:rFonts w:ascii="Times New Roman" w:hAnsi="Times New Roman"/>
        </w:rPr>
      </w:pPr>
      <w:r>
        <w:rPr>
          <w:rStyle w:val="C3"/>
          <w:rFonts w:ascii="方正姚体" w:hAnsi="方正姚体"/>
        </w:rPr>
        <w:t>（三）违反本条例第十二条规定，在房屋拆除过程中发现疑似古建筑，拆除实施人不听劝阻仍进行施工，不保护现场的，责令停止破坏行为，限期采取补救措施；造成严重后果的，处以五万元以上五十万元以下罚款；</w:t>
      </w:r>
    </w:p>
    <w:p>
      <w:pPr>
        <w:pStyle w:val="P1"/>
        <w:ind w:firstLine="640"/>
        <w:rPr>
          <w:rStyle w:val="C3"/>
          <w:rFonts w:ascii="Times New Roman" w:hAnsi="Times New Roman"/>
        </w:rPr>
      </w:pPr>
      <w:r>
        <w:rPr>
          <w:rStyle w:val="C3"/>
          <w:rFonts w:ascii="方正姚体" w:hAnsi="方正姚体"/>
        </w:rPr>
        <w:t>（四）违反本条例第十三条第一款规定，修缮古建筑任意改变和破坏原有建筑的布局、结构，或者任意改建、扩建的，责令限期改正；造成严重后果的，处以五万元以上五十万元以下罚款。</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有下列行为之一，尚不构成犯罪的，分别由自然资源和规划、文物、公安、城市管理、海关等有关部门依照有关法律、法规的规定给予处罚：</w:t>
      </w:r>
    </w:p>
    <w:p>
      <w:pPr>
        <w:pStyle w:val="P1"/>
        <w:ind w:firstLine="640"/>
        <w:rPr>
          <w:rStyle w:val="C3"/>
          <w:rFonts w:ascii="Times New Roman" w:hAnsi="Times New Roman"/>
        </w:rPr>
      </w:pPr>
      <w:r>
        <w:rPr>
          <w:rStyle w:val="C3"/>
          <w:rFonts w:ascii="方正姚体" w:hAnsi="方正姚体"/>
        </w:rPr>
        <w:t>（一）损毁依照本条例第三条第二款规定设立的古建筑保护标志的；</w:t>
      </w:r>
    </w:p>
    <w:p>
      <w:pPr>
        <w:pStyle w:val="P1"/>
        <w:ind w:firstLine="640"/>
        <w:rPr>
          <w:rStyle w:val="C3"/>
          <w:rFonts w:ascii="Times New Roman" w:hAnsi="Times New Roman"/>
        </w:rPr>
      </w:pPr>
      <w:r>
        <w:rPr>
          <w:rStyle w:val="C3"/>
          <w:rFonts w:ascii="方正姚体" w:hAnsi="方正姚体"/>
        </w:rPr>
        <w:t>（二）违反本条例第十条第三款规定，未经批准在古建筑风貌协调保护区或者古建筑比较集中的区域内进行建设的；</w:t>
      </w:r>
    </w:p>
    <w:p>
      <w:pPr>
        <w:pStyle w:val="P1"/>
        <w:ind w:firstLine="640"/>
        <w:rPr>
          <w:rStyle w:val="C3"/>
          <w:rFonts w:ascii="Times New Roman" w:hAnsi="Times New Roman"/>
        </w:rPr>
      </w:pPr>
      <w:r>
        <w:rPr>
          <w:rStyle w:val="C3"/>
          <w:rFonts w:ascii="方正姚体" w:hAnsi="方正姚体"/>
        </w:rPr>
        <w:t>（三）违反本条例第十一条第一款规定，擅自迁移或者拆除古建筑的；</w:t>
      </w:r>
    </w:p>
    <w:p>
      <w:pPr>
        <w:pStyle w:val="P1"/>
        <w:ind w:firstLine="640"/>
        <w:rPr>
          <w:rStyle w:val="C3"/>
          <w:rFonts w:ascii="Times New Roman" w:hAnsi="Times New Roman"/>
        </w:rPr>
      </w:pPr>
      <w:r>
        <w:rPr>
          <w:rStyle w:val="C3"/>
          <w:rFonts w:ascii="方正姚体" w:hAnsi="方正姚体"/>
        </w:rPr>
        <w:t>（四）违反本条例第十六条规定，在古建筑内外乱搭建或者堆放易燃易爆物品，在古建筑及其设施上刻划、涂污，或者走私、盗窃古建筑构件和附着物的。</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违反本条例规定，造成古建筑灭失、损毁的，依法承担民事责任。</w:t>
      </w:r>
    </w:p>
    <w:p>
      <w:pPr>
        <w:pStyle w:val="P1"/>
        <w:ind w:firstLine="640"/>
        <w:rPr>
          <w:rStyle w:val="C3"/>
          <w:rFonts w:ascii="Times New Roman" w:hAnsi="Times New Roman"/>
        </w:rPr>
      </w:pPr>
      <w:r>
        <w:rPr>
          <w:rStyle w:val="C3"/>
          <w:rFonts w:ascii="方正姚体" w:hAnsi="方正姚体"/>
        </w:rPr>
        <w:t>违反本条例规定，构成犯罪的，依法追究刑事责任。</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文物行政主管部门和其他有关部门及其工作人员玩忽职守、滥用职权、徇私舞弊的，由其所在单位或者上级主管机关对其直接负责的主管人员和其他直接责任人员给予处分；构成犯罪的，依法追究刑事责任。</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2003</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spacing w:lineRule="exact" w:line="20"/>
        <w:ind w:firstLine="640"/>
        <w:rPr>
          <w:rStyle w:val="C3"/>
          <w:rFonts w:ascii="Times New Roman" w:hAnsi="Times New Roman"/>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2"/>
    <w:qFormat/>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页脚"/>
    <w:basedOn w:val="P1"/>
    <w:next w:val="P5"/>
    <w:pPr>
      <w:framePr w:wrap="around" w:vAnchor="text" w:hAnchor="margin" w:x="-16" w:y="1"/>
      <w:tabs>
        <w:tab w:val="center" w:pos="4153" w:leader="none"/>
        <w:tab w:val="right" w:pos="8306" w:leader="none"/>
      </w:tabs>
      <w:spacing w:lineRule="atLeast" w:line="400"/>
      <w:ind w:firstLine="0"/>
      <w:jc w:val="left"/>
    </w:pPr>
    <w:rPr>
      <w:sz w:val="30"/>
    </w:rPr>
  </w:style>
  <w:style w:type="paragraph" w:styleId="P6">
    <w:name w:val="正文文本缩进"/>
    <w:basedOn w:val="P1"/>
    <w:next w:val="P6"/>
    <w:pPr>
      <w:spacing w:lineRule="exact" w:line="500"/>
      <w:ind w:firstLine="630"/>
    </w:pPr>
    <w:rPr>
      <w:rFonts w:ascii="仿宋_GB2312" w:hAnsi="仿宋_GB2312"/>
    </w:rPr>
  </w:style>
  <w:style w:type="paragraph" w:styleId="P7">
    <w:name w:val="正文文本缩进 2"/>
    <w:basedOn w:val="P1"/>
    <w:next w:val="P7"/>
    <w:pPr>
      <w:spacing w:lineRule="atLeast" w:line="567"/>
      <w:ind w:hanging="1120" w:left="1120"/>
    </w:pPr>
    <w:rPr>
      <w:sz w:val="28"/>
    </w:rPr>
  </w:style>
  <w:style w:type="paragraph" w:styleId="P8">
    <w:name w:val="正文文本缩进 3"/>
    <w:basedOn w:val="P1"/>
    <w:next w:val="P8"/>
    <w:pPr>
      <w:spacing w:lineRule="exact" w:line="440"/>
      <w:ind w:firstLine="538" w:left="540"/>
    </w:pPr>
    <w:rPr>
      <w:rFonts w:ascii="Times New Roman" w:hAnsi="Times New Roman"/>
      <w:sz w:val="28"/>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正文文本"/>
    <w:basedOn w:val="P1"/>
    <w:next w:val="P10"/>
    <w:pPr>
      <w:spacing w:after="120"/>
    </w:pPr>
    <w:rPr/>
  </w:style>
  <w:style w:type="paragraph" w:styleId="P11">
    <w:name w:val="日期"/>
    <w:basedOn w:val="P1"/>
    <w:next w:val="P1"/>
    <w:pPr>
      <w:spacing w:lineRule="auto" w:line="240"/>
      <w:ind w:firstLine="0" w:left="100"/>
    </w:pPr>
    <w:rPr>
      <w:rFonts w:ascii="Times New Roman" w:hAnsi="Times New Roman"/>
      <w:b w:val="1"/>
      <w:sz w:val="28"/>
    </w:rPr>
  </w:style>
  <w:style w:type="paragraph" w:styleId="P12">
    <w:name w:val="目录 3"/>
    <w:basedOn w:val="P1"/>
    <w:next w:val="P1"/>
    <w:pPr>
      <w:ind w:firstLine="640"/>
    </w:pPr>
    <w:rPr/>
  </w:style>
  <w:style w:type="paragraph" w:styleId="P13">
    <w:name w:val="标题3"/>
    <w:basedOn w:val="P1"/>
    <w:next w:val="P1"/>
    <w:pPr/>
    <w:rPr>
      <w:rFonts w:ascii="方正黑体简体" w:hAnsi="方正黑体简体"/>
    </w:rPr>
  </w:style>
  <w:style w:type="paragraph" w:styleId="P14">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5">
    <w:name w:val="标题2"/>
    <w:basedOn w:val="P1"/>
    <w:next w:val="P1"/>
    <w:pPr>
      <w:ind w:firstLine="0"/>
      <w:jc w:val="center"/>
    </w:pPr>
    <w:rPr>
      <w:rFonts w:ascii="方正楷体_GBK" w:hAnsi="方正楷体_GBK"/>
    </w:rPr>
  </w:style>
  <w:style w:type="paragraph" w:styleId="P16">
    <w:name w:val="标题5"/>
    <w:basedOn w:val="P1"/>
    <w:next w:val="P1"/>
    <w:pPr/>
    <w:rPr>
      <w:rFonts w:ascii="方正楷体简体" w:hAnsi="方正楷体简体"/>
    </w:rPr>
  </w:style>
  <w:style w:type="paragraph" w:styleId="P17">
    <w:name w:val="p0"/>
    <w:basedOn w:val="P1"/>
    <w:next w:val="P17"/>
    <w:pPr>
      <w:widowControl w:val="1"/>
    </w:pPr>
    <w:rPr>
      <w:rFonts w:ascii="Calibri" w:hAnsi="Calibri"/>
    </w:rPr>
  </w:style>
  <w:style w:type="paragraph" w:styleId="P18">
    <w:name w:val="标题4"/>
    <w:basedOn w:val="P13"/>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2022-10-14T07:20:00Z</dcterms:created>
  <cp:lastModifiedBy>f1TZOF\f1TZOF-</cp:lastModifiedBy>
  <cp:lastPrinted>2022-10-14T07:28:00Z</cp:lastPrinted>
  <dcterms:modified xsi:type="dcterms:W3CDTF">2024-08-28T01:34:36Z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