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4A1100" Type="http://schemas.openxmlformats.org/officeDocument/2006/relationships/officeDocument" Target="/word/document.xml" /><Relationship Id="coreR564A110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jc w:val="center"/>
        <w:rPr>
          <w:rStyle w:val="C3"/>
          <w:rFonts w:ascii="宋体" w:hAnsi="宋体"/>
          <w:b w:val="1"/>
          <w:color w:val="000000"/>
        </w:rPr>
      </w:pPr>
    </w:p>
    <w:p>
      <w:pPr>
        <w:pStyle w:val="P1"/>
        <w:widowControl w:val="0"/>
        <w:spacing w:lineRule="exact" w:line="570"/>
        <w:jc w:val="center"/>
        <w:rPr>
          <w:rStyle w:val="C3"/>
          <w:rFonts w:ascii="宋体" w:hAnsi="宋体"/>
          <w:b w:val="1"/>
          <w:color w:val="000000"/>
        </w:rPr>
      </w:pPr>
    </w:p>
    <w:p>
      <w:pPr>
        <w:pStyle w:val="P1"/>
        <w:widowControl w:val="0"/>
        <w:spacing w:lineRule="exact" w:line="570"/>
        <w:jc w:val="center"/>
        <w:rPr>
          <w:rStyle w:val="C3"/>
          <w:rFonts w:ascii="宋体" w:hAnsi="宋体"/>
          <w:b w:val="1"/>
          <w:color w:val="000000"/>
          <w:sz w:val="44"/>
        </w:rPr>
      </w:pPr>
      <w:r>
        <w:rPr>
          <w:rStyle w:val="C3"/>
          <w:rFonts w:ascii="宋体" w:hAnsi="宋体"/>
          <w:color w:val="000000"/>
          <w:sz w:val="44"/>
        </w:rPr>
        <w:t>湖北省农业生态环境保护条例</w:t>
      </w:r>
    </w:p>
    <w:p>
      <w:pPr>
        <w:pStyle w:val="P1"/>
        <w:widowControl w:val="0"/>
        <w:spacing w:lineRule="exact" w:line="570"/>
        <w:ind w:right="640"/>
        <w:rPr>
          <w:rStyle w:val="C3"/>
          <w:rFonts w:ascii="宋体" w:hAnsi="宋体"/>
          <w:color w:val="000000"/>
        </w:rPr>
      </w:pPr>
    </w:p>
    <w:p>
      <w:pPr>
        <w:pStyle w:val="P1"/>
        <w:widowControl w:val="0"/>
        <w:spacing w:lineRule="exact" w:line="570"/>
        <w:ind w:left="622" w:right="622"/>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2006</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日湖北省第十届人民代表大会常务委员会第二十三次会议通过</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日湖北省第十二届人民代表大会常务委员会第三十一次会议《关于集中修改、废止部分省本级地方性法规的决定》修正）</w:t>
      </w:r>
    </w:p>
    <w:p>
      <w:pPr>
        <w:pStyle w:val="P1"/>
        <w:widowControl w:val="0"/>
        <w:spacing w:lineRule="exact" w:line="570"/>
        <w:jc w:val="center"/>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保护和改善农业生态环境，防治农业环境污染和生态破坏，保证农产品质量安全，保障人体健康，推动农业清洁生产，发展农业循环经济，促进农业可持续发展，根据有关法律、行政法规的规定，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在本省行政区域内从事与农业生态环境保护有关的生产、生活、经营、科研等活动，适用本条例。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本条例所称农业生态环境，是指农业生物赖以生存和繁衍的各种天然和人工改造的自然因素的总体，包括土壤、水体、大气、生物等。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农业生态环境保护实行统一规划，预防为主，教育与管理并重，源头控制与综合治理相结合。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应当根据建设社会主义新农村的要求，将农业生态环境保护纳入国民经济和社会发展规划，加强农业生态环境建设，建立健全农业生态环境保护体系，提高农业生态环境保护科技水平，组织农业生态环境综合治理，落实农业生态环境保护目标责任，促进农业生态环境同经济社会发展相协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各级人民政府应当加强农业生态环境保护的宣传教育，普及农业生态环境保护科学知识，引导公民和企事业组织参与农业生态环境保护，增强全社会保护农业生态环境的意识和法制观念。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任何单位和个人都有权对污染和破坏农业生态环境的行为进行检举、控告。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对在农业生态环境保护工作中做出显著成绩的单位和个人，由人民政府给予表彰、奖励。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县级以上人民政府应当将农业生态环境保护经费纳入财政预算，并根据当地社会经济发展需要，增加对农业生态环境保护的投入。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建立和完善农业生态补偿机制。对畜禽养殖废弃物和农作物秸秆的综合利用、农业投入品废弃物的回收利用、生物农药和生物有机肥的推广使用等，逐步实行农业生态补偿。具体办法由省人民政府制定。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县级以上人民政府农业行政主管部门（以下简称农业行政主管部门）在职责范围内负责农业生态环境保护具体监督管理工作；环境保护行政主管部门对环境保护工作实施统一监督管理。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县级以上人民政府林业、水等有关行政主管部门根据各自的职责，协助做好农业生态环境保护的有关工作。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乡镇人民政府、村民委员会以及农村集体经济组织在其职责范围内，指导、帮助和教育当地村民开展农业生态环境保护活动。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农业行政主管部门应当加强农业生态环境监测网络建设，会同环境保护行政主管部门组织开展农业生态环境质量监测和评价，并定期向本级人民政府报告农业生态环境状况和发展趋势。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农业行政主管部门所属的农业生态环境保护机构必须严格履行农业生态环境保护的监督管理职责，其专职或者兼职农业生态环境监察员承担农业生态环境监督工作。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农业行政主管部门应当加强耕地质量保护，对耕地质量进行定期监测，并指导、帮助农民和农业生产经营组织合理利用农业用地，推广测土配方施肥等先进技术。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农民和农业生产经营组织应当科学培育地力，增施绿肥、农家肥、土杂肥等有机肥料，合理使用化肥、微生物肥和土壤调理剂，防止农用地的污染、破坏和地力衰退。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县级以上人民政府及其农业行政主管部门对农产品产地环境质量实行分类管理。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对农产品产地环境安全区，应当采取有效措施，防止各种污染源对农产品产地环境的污染。</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对农产品产地环境警戒区，应当开展环境污染综合整治，减少或者消除污染，改善农产品产地环境质量。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对农产品产地环境污染区，应当进行农业产业结构调整。因污染严重不适宜农产品生产的，由人民政府依法调整土地用途。</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　</w:t>
      </w:r>
      <w:r>
        <w:rPr>
          <w:rStyle w:val="C3"/>
          <w:rFonts w:ascii="Microsoft YaHei UI" w:hAnsi="Microsoft YaHei UI"/>
          <w:color w:val="000000"/>
        </w:rPr>
        <w:t>对复混肥、配方肥、精制有机肥、床土调酸剂、植物生长调节剂的生产经营实行登记管理。申请登记的，申请人应当按照规定提供由具备相应资质的单位出具的安全、卫生、环境影响等评价报告；不符合农业生态环境保护要求的，登记机关不予登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向农民和农业生产经营组织提供作为肥料的城镇垃圾、粉煤灰和污泥的，必须符合国家有关标准；不符合标准的，不得提供和施用。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使用农药应当严格遵守国家有关农药安全使用的规定。鼓励和支持农民和农业生产经营组织在农业生产过程中使用高效、低毒、低残留农药和生物农药，推广应用农作物病虫草鼠害综合防治技术。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禁止在蔬菜、瓜果、茶叶、中药材、粮食、油料等农产品生产过程中使用剧毒、高毒、高残留农药。农业行政主管部门应当定期公布国家明令淘汰和禁止生产、销售、使用的农药品种目录。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农民和农业生产经营组织使用环保型农用薄膜。农民和农业生产经营组织对盛装农药的容器、包装物、过期报废农药和不可降解的农用薄膜，应当予以回收，不得随意丢弃。县级以上人民政府及其农业、环境保护等行政主管部门应当设置相应的废弃物回收点，定期集中处理。回收处理的具体办法及相关的奖励措施由省人民政府制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第十三条</w:t>
      </w:r>
      <w:r>
        <w:rPr>
          <w:rStyle w:val="C3"/>
          <w:rFonts w:ascii="Microsoft YaHei UI" w:hAnsi="Microsoft YaHei UI"/>
          <w:color w:val="000000"/>
        </w:rPr>
        <w:t>　各级人民政府应当加强乡村清洁工程建设，支持推广沼气综合利用技术，完善服务体系，鼓励农民和农业生产经营组织开发、利用沼气。</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农业行政主管部门应当加强对农作物秸秆综合利用的指导，推广秸秆综合利用技术。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不得在机场、交通干线、高压输电线路附近和市、州人民政府划定的区域内露天焚烧秸秆。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从事畜禽、水产规模养殖和农产品加工的单位和个人，应当对粪便、废水和其他废弃物进行综合利用和无害化处理，达到国家或者地方标准后，方可排放。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县级以上人民政府及其农业、环境保护、水等有关行政主管部门应当加强对水产养殖行为的监督和管理，规范并从严控制投肥（药）养殖行为。禁止在饮用水水源一级保护区内投肥（药）养殖。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禁止向农田或者渔业水域排放不符合农田灌溉水质标准、渔业水质标准的工业废水。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向农田灌溉渠道排放工业废水、城市污水的，应当进行无害化处理，保证其下游最近灌溉取水点的水质符合国家规定的农田灌溉水质标准。不符合标准的，不得排放。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农业行政主管部门应当组织对农田灌溉水的水质及灌溉后的土壤、农产品进行定期监测，对不符合农田灌溉水质标准的污水，应当采取相应措施，防止污染土壤、地下水和农产品。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第十六条</w:t>
      </w:r>
      <w:r>
        <w:rPr>
          <w:rStyle w:val="C3"/>
          <w:rFonts w:ascii="Microsoft YaHei UI" w:hAnsi="Microsoft YaHei UI"/>
          <w:color w:val="000000"/>
        </w:rPr>
        <w:t>　向农业生产区域排放废气、粉尘或者其他含有有毒有害物质的气体，超过国家和地方规定的排放标准的，应当按照国家有关规定限期治理。</w:t>
      </w:r>
    </w:p>
    <w:p>
      <w:pPr>
        <w:pStyle w:val="P1"/>
        <w:widowControl w:val="0"/>
        <w:spacing w:lineRule="exact" w:line="570"/>
        <w:ind w:firstLine="634"/>
        <w:rPr>
          <w:rStyle w:val="C3"/>
          <w:rFonts w:ascii="仿宋_GB2312" w:hAnsi="仿宋_GB2312"/>
          <w:color w:val="000000"/>
        </w:rPr>
      </w:pPr>
      <w:r>
        <w:rPr>
          <w:rStyle w:val="C3"/>
          <w:rFonts w:ascii="黑体" w:hAnsi="黑体"/>
          <w:color w:val="000000"/>
        </w:rPr>
        <w:t>第十七条</w:t>
      </w:r>
      <w:r>
        <w:rPr>
          <w:rStyle w:val="C3"/>
          <w:rFonts w:ascii="Microsoft YaHei UI" w:hAnsi="Microsoft YaHei UI"/>
          <w:color w:val="000000"/>
        </w:rPr>
        <w:t>　禁止任何单位和个人在基本农田保护区内建窑、建房、建坟、挖砂、采石、采矿、取土、堆放固体废弃物或者进行其他破坏基本农田的活动。</w:t>
      </w:r>
    </w:p>
    <w:p>
      <w:pPr>
        <w:pStyle w:val="P1"/>
        <w:widowControl w:val="0"/>
        <w:spacing w:lineRule="exact" w:line="570"/>
        <w:ind w:firstLine="634"/>
        <w:rPr>
          <w:rStyle w:val="C3"/>
          <w:rFonts w:ascii="仿宋_GB2312" w:hAnsi="仿宋_GB2312"/>
          <w:color w:val="000000"/>
        </w:rPr>
      </w:pPr>
      <w:r>
        <w:rPr>
          <w:rStyle w:val="C3"/>
          <w:rFonts w:ascii="Microsoft YaHei UI" w:hAnsi="Microsoft YaHei UI"/>
          <w:color w:val="000000"/>
        </w:rPr>
        <w:t>禁止任何单位和个人占用基本农田发展林果业和挖塘养鱼。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禁止向农田和农用水源附近倾倒、弃置、堆放固体废弃物或者其他有毒有害物质。在其他农业用地修建处置、堆存固体废弃物场地的，必须符合国家环境保护标准，并征得当地农业行政主管部门同意。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县级以上人民政府应当加强农业生态环境污染的综合治理，恢复受污染的农田、水体和生态环境的基本功能。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农业生态环境污染的治理应当结合治理工业污染、城市生活污染、农业面源污染进行。农业建设、农业开发和农业技术推广活动，应当与农业生态环境保护、农业环境污染的治理相结合。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申请涉及农业生态环境保护的农业新技术和农用化学新产品鉴定的，应当提供农业生态环境影响评价资料；不符合农业生态环境保护要求的，不得通过鉴定和推广运用。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对农业生态环境有直接影响的建设项目，建设单位提交的环境影响评价文件中，应当有农业生态环境影响评价的内容。环境保护行政主管部门审批环境影响评价文件，应当征求同级相关行政主管部门的意见。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前款规定的建设项目，属于农业等行政主管部门管理的，其环境影响评价文件、初步设计中环境保护篇章以及环境保护设施竣工验收，由相应的主管部门分别负责预审，并监督建设项目设计与施工中环境保护措施的落实，监督项目竣工后环境保护设施的正常运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对国家重点保护野生植物和省重点保护野生植物的生长环境可能产生不利影响的建设项目，建设单位提交的环境影响评价文件中应当对此作出专项评价；环境保护行政主管部门审批环境影响评价文件时，应当征求同级野生植物行政主管部门的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第二十二条</w:t>
      </w:r>
      <w:r>
        <w:rPr>
          <w:rStyle w:val="C3"/>
          <w:rFonts w:ascii="Microsoft YaHei UI" w:hAnsi="Microsoft YaHei UI"/>
          <w:color w:val="000000"/>
        </w:rPr>
        <w:t>　省人民政府农业行政主管部门应当组织农业野生植物资源调查，建立资源档案，制定地方重点保护的农业野生植物保护规划。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农业行政主管部门应当加强对农业野生植物的保护、研究和利用，建立农业野生植物原生境保护区、异地保护园和种质资源库。</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严格执行国家农业野生植物的采集、购销和出口管理制度。任何单位和个人不得随意采集、侵占、购销或者破坏省级以上重点野生植物保护名录中的农业野生植物。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各级人民政府和有关部门应当采取措施，加强对农作物害虫、害鼠天敌的保护。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禁止猎捕、出售、收购、运输青蛙或者蛇等野生农业有益生物。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县级以上人民政府应当采取措施，扶持开发无公害农产品、绿色食品和有机农产品，建立生态农业保护区，发展生态农业。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农业行政主管部门依照法律法规的规定，加强对农产品质量安全和农业转基因生物安全的监督管理。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从境外引进农业生物物种，引进单位或者个人应当提供经国家有关部门认可的引进物种环境影响风险评估报告，并按照国家规定履行登记审批手续。有关部门应当组织对引进物种的跟踪观察，发现可能对农业生态环境造成危害的，应当及时采取相应的安全控制措施，避免危害的发生或者减轻、消除危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农业行政主管部门应当加强对农业外来入侵生物的监控工作，并组织灭杀。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各级人民政府应当制订农业生态环境污染事故和农业重大有害生物及外来生物入侵突发事件的应急处理预案，协调有关部门，采用科学手段，快速高效处置突发事件。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造成农业生态环境污染事故的单位或者个人，必须立即采取有效防治措施排除或者减轻污染危害，及时告知可能受到污染危害的单位和居民，并向当地主管部门报告，依法接受调查处理。被调查的单位或者个人应当如实反映情况，提供必要的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发生重大农业环境污染事故，环境保护行政主管部门和农业行政主管部门应当及时向本级人民政府报告。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因农业生态环境污染事故给农民和农业生产经营组织造成损失的，有关责任者应当依法赔偿；发生纠纷的，当事人可以要求环境保护行政主管部门或者农业行政主管部门进行处理。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违反本条例规定的行为，法律法规有处罚规定的，从其规定。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违反本条例规定，猎捕、出售、收购、运输青蛙或者蛇等野生农业有益生物的，由有关行政主管部门依照职责分工责令停止违法行为，没收实物和违法所得，可并处实物价值一倍以上八倍以下罚款。对没收的野生农业有益生物的活体应当放生，死体应当掩埋销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第三十条</w:t>
      </w:r>
      <w:r>
        <w:rPr>
          <w:rStyle w:val="C3"/>
          <w:rFonts w:ascii="Microsoft YaHei UI" w:hAnsi="Microsoft YaHei UI"/>
          <w:color w:val="000000"/>
        </w:rPr>
        <w:t>　有下列行为之一的，由农业行政主管部门给予警告、责令停止违法行为，没收实物和违法所得，可并处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万元以下罚款；造成严重后果的，处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（一）向农民和农业生产经营组织提供作为肥料的城镇垃圾、粉煤灰、污泥，不符合国家标准的；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（二）未经批准或者未经依法登记擅自引进农业生物物种的，以及非法采集、侵占、购销、破坏省级重点保护农业野生植物的。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违反本条例规定，向农田和农用水源附近倾倒、弃置、堆放固体废弃物或者其他有毒有害物质的，由环境保护行政主管部门依法处理。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违反本条例规定，向农田或者农田灌溉渠道排放不符合农田灌溉水质标准的工业废水、城市污水的，由环境保护行政主管部门责令停止排放、限期治理；逾期不治理的，由县级以上人民政府依法处理。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　</w:t>
      </w:r>
      <w:r>
        <w:rPr>
          <w:rStyle w:val="C3"/>
          <w:rFonts w:ascii="Microsoft YaHei UI" w:hAnsi="Microsoft YaHei UI"/>
          <w:color w:val="000000"/>
        </w:rPr>
        <w:t>违反本条例规定，拒绝、阻碍农业生态环境保护执法人员依法执行职务的，给予批评教育或者警告，责令改正；违反治安管理规定的，由公安机关依法处理；构成犯罪的，依法追究刑事责任。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第三十三条</w:t>
      </w:r>
      <w:r>
        <w:rPr>
          <w:rStyle w:val="C3"/>
          <w:rFonts w:ascii="Microsoft YaHei UI" w:hAnsi="Microsoft YaHei UI"/>
          <w:color w:val="000000"/>
        </w:rPr>
        <w:t>　负有农业生态环境监督管理职责的部门及其工作人员玩忽职守、滥用职权、徇私舞弊的，由其主管部门或者所在单位依法给予行政处分，构成犯罪的，依法追究刑事责任。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本条例自</w:t>
      </w:r>
      <w:r>
        <w:rPr>
          <w:rStyle w:val="C3"/>
          <w:rFonts w:ascii="仿宋_GB2312" w:hAnsi="仿宋_GB2312"/>
          <w:color w:val="000000"/>
        </w:rPr>
        <w:t>2006</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1993</w:t>
      </w:r>
      <w:r>
        <w:rPr>
          <w:rStyle w:val="C3"/>
          <w:rFonts w:ascii="Microsoft YaHei UI" w:hAnsi="Microsoft YaHei UI"/>
          <w:color w:val="000000"/>
        </w:rPr>
        <w:t>年</w:t>
      </w:r>
      <w:r>
        <w:rPr>
          <w:rStyle w:val="C3"/>
          <w:rFonts w:ascii="仿宋_GB2312" w:hAnsi="仿宋_GB2312"/>
          <w:color w:val="000000"/>
        </w:rPr>
        <w:t>2</w:t>
      </w:r>
      <w:r>
        <w:rPr>
          <w:rStyle w:val="C3"/>
          <w:rFonts w:ascii="Microsoft YaHei UI" w:hAnsi="Microsoft YaHei UI"/>
          <w:color w:val="000000"/>
        </w:rPr>
        <w:t>月</w:t>
      </w:r>
      <w:r>
        <w:rPr>
          <w:rStyle w:val="C3"/>
          <w:rFonts w:ascii="仿宋_GB2312" w:hAnsi="仿宋_GB2312"/>
          <w:color w:val="000000"/>
        </w:rPr>
        <w:t>13</w:t>
      </w:r>
      <w:r>
        <w:rPr>
          <w:rStyle w:val="C3"/>
          <w:rFonts w:ascii="Microsoft YaHei UI" w:hAnsi="Microsoft YaHei UI"/>
          <w:color w:val="000000"/>
        </w:rPr>
        <w:t>日湖北省第七届人民代表大会常务委员会第三十二次会议通过的《湖北省农业环境保护条例》同时废止。</w:t>
      </w:r>
    </w:p>
    <w:p>
      <w:pPr>
        <w:pStyle w:val="P1"/>
        <w:widowControl w:val="0"/>
        <w:spacing w:lineRule="exact" w:line="570"/>
        <w:rPr>
          <w:rStyle w:val="C3"/>
          <w:rFonts w:ascii="宋体" w:hAnsi="宋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73637A42">
      <w:start w:val="5"/>
      <w:numFmt w:val="bullet"/>
      <w:suff w:val="tab"/>
      <w:lvlText w:val="—"/>
      <w:lvlJc w:val="left"/>
      <w:pPr>
        <w:ind w:hanging="360" w:left="360"/>
      </w:pPr>
      <w:rPr>
        <w:rFonts w:ascii="宋体" w:hAnsi="宋体"/>
      </w:rPr>
    </w:lvl>
    <w:lvl w:ilvl="1" w:tplc="3B53527B">
      <w:start w:val="1"/>
      <w:numFmt w:val="bullet"/>
      <w:suff w:val="tab"/>
      <w:lvlText w:val=""/>
      <w:lvlJc w:val="left"/>
      <w:pPr>
        <w:ind w:hanging="420" w:left="840"/>
      </w:pPr>
      <w:rPr>
        <w:rFonts w:ascii="Wingdings" w:hAnsi="Wingdings"/>
      </w:rPr>
    </w:lvl>
    <w:lvl w:ilvl="2" w:tplc="665A9375">
      <w:start w:val="1"/>
      <w:numFmt w:val="bullet"/>
      <w:suff w:val="tab"/>
      <w:lvlText w:val=""/>
      <w:lvlJc w:val="left"/>
      <w:pPr>
        <w:ind w:hanging="420" w:left="1260"/>
      </w:pPr>
      <w:rPr>
        <w:rFonts w:ascii="Wingdings" w:hAnsi="Wingdings"/>
      </w:rPr>
    </w:lvl>
    <w:lvl w:ilvl="3" w:tplc="3C612C30">
      <w:start w:val="1"/>
      <w:numFmt w:val="bullet"/>
      <w:suff w:val="tab"/>
      <w:lvlText w:val=""/>
      <w:lvlJc w:val="left"/>
      <w:pPr>
        <w:ind w:hanging="420" w:left="1680"/>
      </w:pPr>
      <w:rPr>
        <w:rFonts w:ascii="Wingdings" w:hAnsi="Wingdings"/>
      </w:rPr>
    </w:lvl>
    <w:lvl w:ilvl="4" w:tplc="3A25AFA0">
      <w:start w:val="1"/>
      <w:numFmt w:val="bullet"/>
      <w:suff w:val="tab"/>
      <w:lvlText w:val=""/>
      <w:lvlJc w:val="left"/>
      <w:pPr>
        <w:ind w:hanging="420" w:left="2100"/>
      </w:pPr>
      <w:rPr>
        <w:rFonts w:ascii="Wingdings" w:hAnsi="Wingdings"/>
      </w:rPr>
    </w:lvl>
    <w:lvl w:ilvl="5" w:tplc="3DD5820B">
      <w:start w:val="1"/>
      <w:numFmt w:val="bullet"/>
      <w:suff w:val="tab"/>
      <w:lvlText w:val=""/>
      <w:lvlJc w:val="left"/>
      <w:pPr>
        <w:ind w:hanging="420" w:left="2520"/>
      </w:pPr>
      <w:rPr>
        <w:rFonts w:ascii="Wingdings" w:hAnsi="Wingdings"/>
      </w:rPr>
    </w:lvl>
    <w:lvl w:ilvl="6" w:tplc="546CE3ED">
      <w:start w:val="1"/>
      <w:numFmt w:val="bullet"/>
      <w:suff w:val="tab"/>
      <w:lvlText w:val=""/>
      <w:lvlJc w:val="left"/>
      <w:pPr>
        <w:ind w:hanging="420" w:left="2940"/>
      </w:pPr>
      <w:rPr>
        <w:rFonts w:ascii="Wingdings" w:hAnsi="Wingdings"/>
      </w:rPr>
    </w:lvl>
    <w:lvl w:ilvl="7" w:tplc="178F75EC">
      <w:start w:val="1"/>
      <w:numFmt w:val="bullet"/>
      <w:suff w:val="tab"/>
      <w:lvlText w:val=""/>
      <w:lvlJc w:val="left"/>
      <w:pPr>
        <w:ind w:hanging="420" w:left="3360"/>
      </w:pPr>
      <w:rPr>
        <w:rFonts w:ascii="Wingdings" w:hAnsi="Wingdings"/>
      </w:rPr>
    </w:lvl>
    <w:lvl w:ilvl="8" w:tplc="6DB72E4F">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4F930674">
      <w:start w:val="5"/>
      <w:numFmt w:val="bullet"/>
      <w:suff w:val="tab"/>
      <w:lvlText w:val="—"/>
      <w:lvlJc w:val="left"/>
      <w:pPr>
        <w:ind w:hanging="360" w:left="930"/>
      </w:pPr>
      <w:rPr>
        <w:rFonts w:ascii="宋体" w:hAnsi="宋体"/>
      </w:rPr>
    </w:lvl>
    <w:lvl w:ilvl="1" w:tplc="4810E20F">
      <w:start w:val="1"/>
      <w:numFmt w:val="bullet"/>
      <w:suff w:val="tab"/>
      <w:lvlText w:val=""/>
      <w:lvlJc w:val="left"/>
      <w:pPr>
        <w:ind w:hanging="420" w:left="1410"/>
      </w:pPr>
      <w:rPr>
        <w:rFonts w:ascii="Wingdings" w:hAnsi="Wingdings"/>
      </w:rPr>
    </w:lvl>
    <w:lvl w:ilvl="2" w:tplc="7BF46B30">
      <w:start w:val="1"/>
      <w:numFmt w:val="bullet"/>
      <w:suff w:val="tab"/>
      <w:lvlText w:val=""/>
      <w:lvlJc w:val="left"/>
      <w:pPr>
        <w:ind w:hanging="420" w:left="1830"/>
      </w:pPr>
      <w:rPr>
        <w:rFonts w:ascii="Wingdings" w:hAnsi="Wingdings"/>
      </w:rPr>
    </w:lvl>
    <w:lvl w:ilvl="3" w:tplc="2187A9F1">
      <w:start w:val="1"/>
      <w:numFmt w:val="bullet"/>
      <w:suff w:val="tab"/>
      <w:lvlText w:val=""/>
      <w:lvlJc w:val="left"/>
      <w:pPr>
        <w:ind w:hanging="420" w:left="2250"/>
      </w:pPr>
      <w:rPr>
        <w:rFonts w:ascii="Wingdings" w:hAnsi="Wingdings"/>
      </w:rPr>
    </w:lvl>
    <w:lvl w:ilvl="4" w:tplc="2C12BB0F">
      <w:start w:val="1"/>
      <w:numFmt w:val="bullet"/>
      <w:suff w:val="tab"/>
      <w:lvlText w:val=""/>
      <w:lvlJc w:val="left"/>
      <w:pPr>
        <w:ind w:hanging="420" w:left="2670"/>
      </w:pPr>
      <w:rPr>
        <w:rFonts w:ascii="Wingdings" w:hAnsi="Wingdings"/>
      </w:rPr>
    </w:lvl>
    <w:lvl w:ilvl="5" w:tplc="5073C9D2">
      <w:start w:val="1"/>
      <w:numFmt w:val="bullet"/>
      <w:suff w:val="tab"/>
      <w:lvlText w:val=""/>
      <w:lvlJc w:val="left"/>
      <w:pPr>
        <w:ind w:hanging="420" w:left="3090"/>
      </w:pPr>
      <w:rPr>
        <w:rFonts w:ascii="Wingdings" w:hAnsi="Wingdings"/>
      </w:rPr>
    </w:lvl>
    <w:lvl w:ilvl="6" w:tplc="4EB9AB92">
      <w:start w:val="1"/>
      <w:numFmt w:val="bullet"/>
      <w:suff w:val="tab"/>
      <w:lvlText w:val=""/>
      <w:lvlJc w:val="left"/>
      <w:pPr>
        <w:ind w:hanging="420" w:left="3510"/>
      </w:pPr>
      <w:rPr>
        <w:rFonts w:ascii="Wingdings" w:hAnsi="Wingdings"/>
      </w:rPr>
    </w:lvl>
    <w:lvl w:ilvl="7" w:tplc="3C50611E">
      <w:start w:val="1"/>
      <w:numFmt w:val="bullet"/>
      <w:suff w:val="tab"/>
      <w:lvlText w:val=""/>
      <w:lvlJc w:val="left"/>
      <w:pPr>
        <w:ind w:hanging="420" w:left="3930"/>
      </w:pPr>
      <w:rPr>
        <w:rFonts w:ascii="Wingdings" w:hAnsi="Wingdings"/>
      </w:rPr>
    </w:lvl>
    <w:lvl w:ilvl="8" w:tplc="5CF1E9E6">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28134F67">
      <w:start w:val="5"/>
      <w:numFmt w:val="bullet"/>
      <w:suff w:val="tab"/>
      <w:lvlText w:val="—"/>
      <w:lvlJc w:val="left"/>
      <w:pPr>
        <w:ind w:hanging="360" w:left="1290"/>
      </w:pPr>
      <w:rPr>
        <w:rFonts w:ascii="宋体" w:hAnsi="宋体"/>
      </w:rPr>
    </w:lvl>
    <w:lvl w:ilvl="1" w:tplc="27EACF3A">
      <w:start w:val="1"/>
      <w:numFmt w:val="bullet"/>
      <w:suff w:val="tab"/>
      <w:lvlText w:val=""/>
      <w:lvlJc w:val="left"/>
      <w:pPr>
        <w:ind w:hanging="420" w:left="1770"/>
      </w:pPr>
      <w:rPr>
        <w:rFonts w:ascii="Wingdings" w:hAnsi="Wingdings"/>
      </w:rPr>
    </w:lvl>
    <w:lvl w:ilvl="2" w:tplc="479A3FE4">
      <w:start w:val="1"/>
      <w:numFmt w:val="bullet"/>
      <w:suff w:val="tab"/>
      <w:lvlText w:val=""/>
      <w:lvlJc w:val="left"/>
      <w:pPr>
        <w:ind w:hanging="420" w:left="2190"/>
      </w:pPr>
      <w:rPr>
        <w:rFonts w:ascii="Wingdings" w:hAnsi="Wingdings"/>
      </w:rPr>
    </w:lvl>
    <w:lvl w:ilvl="3" w:tplc="64B5711C">
      <w:start w:val="1"/>
      <w:numFmt w:val="bullet"/>
      <w:suff w:val="tab"/>
      <w:lvlText w:val=""/>
      <w:lvlJc w:val="left"/>
      <w:pPr>
        <w:ind w:hanging="420" w:left="2610"/>
      </w:pPr>
      <w:rPr>
        <w:rFonts w:ascii="Wingdings" w:hAnsi="Wingdings"/>
      </w:rPr>
    </w:lvl>
    <w:lvl w:ilvl="4" w:tplc="5FC50D54">
      <w:start w:val="1"/>
      <w:numFmt w:val="bullet"/>
      <w:suff w:val="tab"/>
      <w:lvlText w:val=""/>
      <w:lvlJc w:val="left"/>
      <w:pPr>
        <w:ind w:hanging="420" w:left="3030"/>
      </w:pPr>
      <w:rPr>
        <w:rFonts w:ascii="Wingdings" w:hAnsi="Wingdings"/>
      </w:rPr>
    </w:lvl>
    <w:lvl w:ilvl="5" w:tplc="447D9ED7">
      <w:start w:val="1"/>
      <w:numFmt w:val="bullet"/>
      <w:suff w:val="tab"/>
      <w:lvlText w:val=""/>
      <w:lvlJc w:val="left"/>
      <w:pPr>
        <w:ind w:hanging="420" w:left="3450"/>
      </w:pPr>
      <w:rPr>
        <w:rFonts w:ascii="Wingdings" w:hAnsi="Wingdings"/>
      </w:rPr>
    </w:lvl>
    <w:lvl w:ilvl="6" w:tplc="0B0597AC">
      <w:start w:val="1"/>
      <w:numFmt w:val="bullet"/>
      <w:suff w:val="tab"/>
      <w:lvlText w:val=""/>
      <w:lvlJc w:val="left"/>
      <w:pPr>
        <w:ind w:hanging="420" w:left="3870"/>
      </w:pPr>
      <w:rPr>
        <w:rFonts w:ascii="Wingdings" w:hAnsi="Wingdings"/>
      </w:rPr>
    </w:lvl>
    <w:lvl w:ilvl="7" w:tplc="662D1DF2">
      <w:start w:val="1"/>
      <w:numFmt w:val="bullet"/>
      <w:suff w:val="tab"/>
      <w:lvlText w:val=""/>
      <w:lvlJc w:val="left"/>
      <w:pPr>
        <w:ind w:hanging="420" w:left="4290"/>
      </w:pPr>
      <w:rPr>
        <w:rFonts w:ascii="Wingdings" w:hAnsi="Wingdings"/>
      </w:rPr>
    </w:lvl>
    <w:lvl w:ilvl="8" w:tplc="4428A1E7">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2017-12-28T13:00:00Z</dcterms:created>
  <cp:lastModifiedBy>f1TZOF\f1TZOF-</cp:lastModifiedBy>
  <cp:lastPrinted>2017-12-26T06:41:00Z</cp:lastPrinted>
  <dcterms:modified xsi:type="dcterms:W3CDTF">2024-08-28T01:34:36Z</dcterms:modified>
  <cp:revision>3</cp:revision>
  <dc:title>湖北省劳动力市场管理条例</dc:title>
</cp:coreProperties>
</file>