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2E7EA1" Type="http://schemas.openxmlformats.org/officeDocument/2006/relationships/officeDocument" Target="/word/document.xml" /><Relationship Id="coreR3B2E7EA1" Type="http://schemas.openxmlformats.org/package/2006/relationships/metadata/core-properties" Target="/docProps/core.xml" /><Relationship Id="customR3B2E7E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60"/>
        <w:contextualSpacing w:val="1"/>
        <w:jc w:val="center"/>
        <w:rPr>
          <w:rStyle w:val="C3"/>
          <w:rFonts w:ascii="方正小标宋简体" w:hAnsi="方正小标宋简体"/>
          <w:sz w:val="44"/>
        </w:rPr>
      </w:pPr>
    </w:p>
    <w:p>
      <w:pPr>
        <w:pStyle w:val="P1"/>
        <w:spacing w:lineRule="exact" w:line="560"/>
        <w:ind w:firstLine="285"/>
        <w:contextualSpacing w:val="1"/>
        <w:rPr>
          <w:rStyle w:val="C3"/>
          <w:rFonts w:ascii="Adobe 仿宋 Std R" w:hAnsi="Adobe 仿宋 Std R"/>
        </w:rPr>
      </w:pPr>
    </w:p>
    <w:p>
      <w:pPr>
        <w:pStyle w:val="P33"/>
        <w:spacing w:lineRule="exact" w:line="560" w:before="0" w:after="0" w:beforeAutospacing="0" w:afterAutospacing="0"/>
        <w:contextualSpacing w:val="1"/>
        <w:jc w:val="center"/>
        <w:rPr>
          <w:rStyle w:val="C3"/>
          <w:sz w:val="44"/>
        </w:rPr>
      </w:pPr>
      <w:r>
        <w:rPr>
          <w:rStyle w:val="C3"/>
          <w:sz w:val="44"/>
        </w:rPr>
        <w:t>天津市道路交通安全管理若干规定</w:t>
      </w:r>
    </w:p>
    <w:p>
      <w:pPr>
        <w:pStyle w:val="P33"/>
        <w:spacing w:lineRule="exact" w:line="560" w:before="0" w:after="0" w:beforeAutospacing="0" w:afterAutospacing="0"/>
        <w:contextualSpacing w:val="1"/>
        <w:jc w:val="both"/>
        <w:rPr>
          <w:rStyle w:val="C3"/>
          <w:rFonts w:ascii="仿宋_GB2312" w:hAnsi="仿宋_GB2312"/>
          <w:sz w:val="32"/>
        </w:rPr>
      </w:pPr>
    </w:p>
    <w:p>
      <w:pPr>
        <w:pStyle w:val="P33"/>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日天津市第十四届人民代表大会常务委员会第二十二次会议通过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日天津市第十六届人民代表大会常务委员会第二十七次会议《关于修改部分地方性法规的决定》第二次修正）</w:t>
      </w:r>
    </w:p>
    <w:p>
      <w:pPr>
        <w:pStyle w:val="P15"/>
        <w:spacing w:lineRule="exact" w:line="560"/>
        <w:contextualSpacing w:val="1"/>
        <w:jc w:val="center"/>
        <w:rPr>
          <w:rStyle w:val="C3"/>
          <w:rFonts w:ascii="Adobe 仿宋 Std R" w:hAnsi="Adobe 仿宋 Std R"/>
        </w:rPr>
      </w:pPr>
    </w:p>
    <w:p>
      <w:pPr>
        <w:pStyle w:val="P15"/>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5"/>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道路交通安全管理</w:t>
      </w:r>
    </w:p>
    <w:p>
      <w:pPr>
        <w:pStyle w:val="P15"/>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道路通行管理</w:t>
      </w:r>
    </w:p>
    <w:p>
      <w:pPr>
        <w:pStyle w:val="P15"/>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道路交通事故处理</w:t>
      </w:r>
    </w:p>
    <w:p>
      <w:pPr>
        <w:pStyle w:val="P15"/>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5"/>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8"/>
        <w:spacing w:lineRule="exact" w:line="560" w:before="0" w:after="0" w:beforeAutospacing="0" w:afterAutospacing="0"/>
        <w:contextualSpacing w:val="1"/>
        <w:jc w:val="both"/>
        <w:rPr>
          <w:rStyle w:val="C3"/>
          <w:rFonts w:ascii="Adobe 仿宋 Std R" w:hAnsi="Adobe 仿宋 Std R"/>
          <w:color w:val="auto"/>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rPr>
        <w:t>　</w:t>
      </w:r>
      <w:r>
        <w:rPr>
          <w:rStyle w:val="C3"/>
          <w:rFonts w:ascii="Microsoft YaHei UI" w:hAnsi="Microsoft YaHei UI"/>
          <w:b w:val="1"/>
          <w:sz w:val="32"/>
        </w:rPr>
        <w:t>　</w:t>
      </w:r>
      <w:r>
        <w:rPr>
          <w:rStyle w:val="C3"/>
          <w:rFonts w:ascii="仿宋_GB2312" w:hAnsi="仿宋_GB2312"/>
          <w:b w:val="1"/>
          <w:sz w:val="32"/>
        </w:rPr>
        <w:t xml:space="preserve"> </w:t>
      </w:r>
      <w:r>
        <w:rPr>
          <w:rStyle w:val="C3"/>
          <w:rFonts w:ascii="黑体" w:hAnsi="黑体"/>
          <w:sz w:val="32"/>
        </w:rPr>
        <w:t>第一条</w:t>
      </w:r>
      <w:r>
        <w:rPr>
          <w:rStyle w:val="C3"/>
          <w:rFonts w:ascii="Microsoft YaHei UI" w:hAnsi="Microsoft YaHei UI"/>
          <w:sz w:val="32"/>
        </w:rPr>
        <w:t>　为维护道路交通秩序，预防和减少交通事故，保护人身安全，保护公民、法人和其他组织的财产安全及其他合法权益，提高道路通行效率，根据《中华人民共和国道路交通安全法》、《中华人民共和国道路交通安全法实施条例》，结合本市实际情况，制定本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在本市行政区域内的车辆驾驶人、行人、乘车人以及与道路交通活动有关的单位和个人，应当遵守国家道路交通安全法律、法规和本规定。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各级人民政府应当保障道路交通安全管理工作与经济建设和社会发展相适应，统筹安排道路建设，合理配置道路资源，完善道路交通安全设施。</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市和区、县人民政府应当根据道路交通发展的需要，依据道路交通安全法律、法规和国家有关政策，制定城市道路交通安全管理规划，并纳入国民经济和社会发展规划。</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和区、县人民政府应当建立健全道路交通安全工作协调机制，组织有关部门对城市建设项目进行交通影响评价，实行道路交通安全防范责任制和事故责任追究制，保障道路交通安全管理的需要和先进管理方法、技术、设备的推广使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道路交通安全防范责任制和事故责任追究制，由市人民政府依照有关法律、法规和本规定制定并组织实施。</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本市公安机关是道路交通安全管理工作的主管机关。公安机关交通管理部门负责具体实施道路交通安全管理工作。</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市和区、县人民政府其他有关部门应当按照各自职责，做好道路交通安全管理的相关工作。</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机关、企业事业单位、社会团体和其他组织应当加强对其所属人员的教育和管理，建立健全内部交通安全管理制度并责成专人负责落实；做好机动车维护、保养和安全检查，保持车辆安全技术状态良好，消除隐患、防范事故；接受公安机关交通管理部门的检查监督。</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本市鼓励单位和个人为道路交通安全管理工作提供志愿服务。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志愿服务人员和其他有关人员在公安机关交通管理部门的组织下，协助维护道路交通秩序，但不得实施行政处罚。</w:t>
      </w:r>
    </w:p>
    <w:p>
      <w:pPr>
        <w:pStyle w:val="P11"/>
        <w:spacing w:lineRule="exact" w:line="560" w:before="0" w:after="0" w:beforeAutospacing="0" w:afterAutospacing="0"/>
        <w:ind w:firstLine="555"/>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各级人民政府对在道路交通安全工作中有突出贡献的公民、法人和其他组织，应当予以表彰、奖励。</w:t>
      </w:r>
    </w:p>
    <w:p>
      <w:pPr>
        <w:pStyle w:val="P11"/>
        <w:spacing w:lineRule="exact" w:line="560" w:before="0" w:after="0" w:beforeAutospacing="0" w:afterAutospacing="0"/>
        <w:ind w:firstLine="555"/>
        <w:contextualSpacing w:val="1"/>
        <w:jc w:val="both"/>
        <w:rPr>
          <w:rStyle w:val="C3"/>
          <w:rFonts w:ascii="仿宋_GB2312" w:hAnsi="仿宋_GB2312"/>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道路交通安全管理</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在本市办理机动车注册登记应当领取机动车信息卡，并随车携带。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机动车办理转移登记或者变更登记的，公安机关交通管理部门应当同时变更机动车信息卡的相关内容。机动车办理注销登记或者转出本市的，公安机关交通管理部门应当同时收回机动车信息卡。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机动车注册登记期间需要临时在道路上行驶的，应当取得移动证明，并按照移动证明载明的期限、区域行驶。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机动车应当符合国家安全技术标准、尾气排放标准并经检验合格。</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机动车在道路上行驶时的尾气排放经有关主管部门抽测不合格的，由公安机关交通管理部门责令限期维修、调试合格，限期维修、调试期间扣留机动车行驶证。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机动车取得公安机关交通管理部门核发的教练车号牌后，方准用于教练。</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机动车用作警车、消防车、救护车、工程救险车的，应当经车辆所有人或者管理人的市级行政主管部门批准，取得公安机关交通管理部门核发的特种车辆使用凭证。特种车辆使用凭证应当随车携带。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公路监督检查的专用车辆按照法律规定设置统一标志和示警灯的，应当到公安机关交通管理部门办理相应的变更登记。</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报废机动车回收企业拆解大型客、货车及其他营运车辆应当向公安机关交通管理部门申报，在公安机关交通管理部门现场监督下解体。</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机动车驾驶人初领、换领机动车驾驶证和依照规定进行机动车驾驶证审验时，应当经身体健康适应性检测合格。</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黑体" w:hAnsi="黑体"/>
          <w:b w:val="1"/>
          <w:sz w:val="32"/>
        </w:rPr>
        <w:t>　</w:t>
      </w:r>
      <w:r>
        <w:rPr>
          <w:rStyle w:val="C3"/>
          <w:rFonts w:ascii="Microsoft YaHei UI" w:hAnsi="Microsoft YaHei UI"/>
          <w:sz w:val="32"/>
        </w:rPr>
        <w:t>公安机关交通管理部门应当加强道路交通安全的宣传和教育。</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机动车驾驶员协会应当依法维护会员的合法权益，对驾驶人进行道路交通安全法律、法规及文明、规范驾驶技能教育，督促驾驶人对上路行驶的机动车辆进行保养、维护。</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机动车驾驶员协会应当依照章程的规定向会员提供驾驶人管理、车务手续等服务。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机动车驾驶人取得驾驶证后应当领取机动车驾驶人信息卡，并随驾驶证同时携带。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机动车驾驶人信息卡用于记载驾驶人的交通安全教育、交通违法行为累计记分情况和发生的交通事故等信息。</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机动车信息卡、机动车驾驶人信息卡和身体健康适应性检测的收费标准，由市公安机关交通管理部门或者卫生行政管理部门会同市物价行政主管部门制定并公布。</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公安机关交通管理部门应当严格执行规定的收费标准，不得超标准收费。</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规划行政主管部门审批大型公共场所、民用建筑及其他重大建设项目时，应当考虑道路交通安全的需要，听取公安机关交通管理部门的意见；对不符合道路交通安全、畅通要求的，应当要求项目建设单位修改设计方案。</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新建、改建、扩建的公共建筑、商业街区、居住区、大（中）型建筑等，应当按照国家和本市有关停车泊位数量标准配建、增建停车场，并列入建筑设计审核规划；停车泊位不足的，应当及时改建或者扩建；确因场地等条件所限，难以配建、增建的，应当根据所缺停车泊位的数量情况易地建设停车场，所需费用由建设单位承担。</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易地建设停车场的费用标准和使用管理的具体办法，由市人民政府另行规定。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停车场不得擅自停止使用或者改作他用。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设置临时停车场须符合道路交通安全畅通的要求和相应的技术规范，并经公安机关交通管理部门同意。</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在城市道路范围内，在不影响行人、车辆通行的情况下，公安机关交通管理部门在征求市容、道路主管部门的意见后可以施划停车泊位。</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车辆应当在规定的地点停放。公安机关交通管理部门将违反规定停放的车辆移至其他地点存放的，应当明示存放地点。</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城市建设、规划、道路、市容等行政主管部门对占用道路从事非交通活动实施许可前，对有可能影响道路交通安全的，应当征得公安机关交通管理部门的同意。</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禁止占压城市道路上的盲道。对占压盲道的，公安机关交通管理部门应当责令其立即清除。</w:t>
      </w:r>
    </w:p>
    <w:p>
      <w:pPr>
        <w:pStyle w:val="P1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架设横跨道路的临时设施，其底部距机动车道路面不得小于五米，距非机动车道不得小于四米。</w:t>
      </w:r>
    </w:p>
    <w:p>
      <w:pPr>
        <w:pStyle w:val="P11"/>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沿街建筑物向道路延伸的物体，以及设置在道路上的支撑物体，其底部距地面不得小于二点五米。</w:t>
      </w:r>
    </w:p>
    <w:p>
      <w:pPr>
        <w:pStyle w:val="P11"/>
        <w:spacing w:lineRule="exact" w:line="560" w:before="0" w:after="0" w:beforeAutospacing="0" w:afterAutospacing="0"/>
        <w:ind w:firstLine="660"/>
        <w:contextualSpacing w:val="1"/>
        <w:jc w:val="both"/>
        <w:rPr>
          <w:rStyle w:val="C3"/>
          <w:rFonts w:ascii="仿宋_GB2312" w:hAnsi="仿宋_GB2312"/>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道路通行管理</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机动车遇有盲人、行走不便的残疾人、孕妇、老年人或者儿童时，应当停车让行。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道路设施管理部门应当在距离学校、幼儿园、医院、养老院门前三十米处设立警示牌，机动车在该区域行驶时应当减速慢行。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行人遇人行道有障碍无法正常通行，借用车行道通行时，车辆应当减速、避让。</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车辆、行人应当各行其道，机动车还应当遵守下列规定分道行驶：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（一）在同方向划有两条以上机动车道的道路上，城市公交车、摩托车、拖拉机、电瓶车、轮式专用机械车、低速载货汽车、三轮汽车在最右侧车道行驶；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（二）在设有主路、辅路的道路上，拖拉机、轮式专用机械车、低速载货汽车、牵引机动车、三轮汽车、摩托车只准在辅路上行驶；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（三）驾驶人在实习期间驾驶的机动车只准在最右侧车道行驶。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公安机关交通管理部门在有条件的道路上可以施划公共汽车专用车道。在划有公共汽车专用车道的路段上，公共汽车应当在专用车道顺序行驶。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机动车进出非机动车道、人行道或者在没有交通信号控制的路段左转弯、掉头，应当注意避让其他车辆和行人。</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机动车通过没有交通信号灯控制的路口，应当在距路口一百米处开始减速，到距路口三十米处时小型客车时速不超过三十公里，其他车辆时速不超过二十公里。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车辆在五交叉以上路口通行直对的路口或者右侧的隔一个路口的，应当按直行通过；通行右侧隔两个以上路口的，应当按左转弯通过。</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机动车辆需借用非机动车道、人行道行驶的，应当以低于二十公里的时速慢行通过。</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在机动车前后挡风玻璃上张贴、悬挂、放置物品，不得妨碍驾驶视线。</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禁止在机动车车顶设置立体广告。</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机动车转弯、掉头、靠路边停车时应当提前在三十米处开启转向灯。</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开辟、调整公交路线或者设置车站，应当符合交通规划和安全、畅通的要求，并经公安机关交通管理部门同意。</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公共汽车进出站点应当遵守下列规定：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（一）在站点一侧单排靠边停车；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（二）暂时不能进入站点的，在最右侧机动车道单排等候进站；</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（三）不得在站点以外停车上下乘客；</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（四）驶离站点时单排依次顺序行驶。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客运出租车应当在出租车站点右侧路边顺序临时停车上下乘客；在不妨碍公共汽车进出站、停靠的情况下，客运出租车可以借用公共汽车站点上下乘客，但不得停车候客。</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客运出租车不得违反规定在道路上停车候客、揽客。</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机动车在道路上临时停车应当按顺行方向，紧靠道路边缘线，前后右侧车轮外缘距路缘石不得超过零点三米；车行道一侧有障碍物，距障碍物五十米以内的另一侧不得停车；在车行道两侧停车，两车距离不得小于五十米。</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任何人不得在交叉路口、车行道、桥梁、地道、涵洞、过街天桥等地点散发宣传品、兜售商品或者乞讨；过往车辆的驾乘人员不得接收、购买或者施舍。</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乘坐公共汽车、交通班车应当在线路站牌候车点候乘。候车点设在机动车与非机动车隔离设施上的，乘车人应当直行通过非机动车道。</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机动车因故障或者交通事故在车行道停车时，乘车人应当迅速离开车辆和车行道。</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机动车等待通行信号或者前方受阻临时停车时，不得允许乘车人上下车辆；明知驾驶人无驾驶证或者饮酒的，不得乘坐其驾驶的机动车。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第三十九条</w:t>
      </w:r>
      <w:r>
        <w:rPr>
          <w:rStyle w:val="C3"/>
          <w:rFonts w:ascii="Microsoft YaHei UI" w:hAnsi="Microsoft YaHei UI"/>
          <w:sz w:val="32"/>
        </w:rPr>
        <w:t>　在道路上从事清扫、设施维修等作业人员应当穿着反光服饰，过往车辆应当避让。</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残疾人机动轮椅车只准下肢残疾的残疾人使用，其他人员不得使用残疾人机动轮椅车。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驾驶残疾人机动轮椅车的，应当携带残疾证。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自行车等非机动车在道路上行驶时应当严格遵守交通规则，服从指挥并注意避让其他车辆和行人，不得抢行、逆行。停车不得压越停车线，转弯时应当伸手示意，横过机动车道时应当推行或者按照规定方式通行。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w:t>
      </w:r>
      <w:r>
        <w:rPr>
          <w:rStyle w:val="C3"/>
          <w:rFonts w:ascii="Microsoft YaHei UI" w:hAnsi="Microsoft YaHei UI"/>
          <w:sz w:val="32"/>
        </w:rPr>
        <w:t>　成人驾驶自行车、电动自行车可以附载一名不满十二周岁的儿童，行经交叉路口、铁路道口或者陡坡等危险路段时应当下车推行。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第四十三条</w:t>
      </w:r>
      <w:r>
        <w:rPr>
          <w:rStyle w:val="C3"/>
          <w:rFonts w:ascii="Microsoft YaHei UI" w:hAnsi="Microsoft YaHei UI"/>
          <w:sz w:val="32"/>
        </w:rPr>
        <w:t>　车辆以外以动力装置驱动的收割机、播种机等机械往返作业区域途经道路时，应当在道路的最右侧行驶，最高时速不得超过二十公里；驶入、横穿或者驶离道路时应当减速或者停车，在确认安全后通行。</w:t>
      </w:r>
    </w:p>
    <w:p>
      <w:pPr>
        <w:pStyle w:val="P1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第四十四条</w:t>
      </w:r>
      <w:r>
        <w:rPr>
          <w:rStyle w:val="C3"/>
          <w:rFonts w:ascii="Microsoft YaHei UI" w:hAnsi="Microsoft YaHei UI"/>
          <w:sz w:val="32"/>
        </w:rPr>
        <w:t>　高速公路、城市快速路因事故或者其他情况致使车辆不能通行的，任何车辆不得在超车道停放，以确保救援、勘查、清障等车辆通行。</w:t>
      </w:r>
    </w:p>
    <w:p>
      <w:pPr>
        <w:pStyle w:val="P11"/>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高速公路、城市快速路因事故或者其他情况致使车辆不能正常通行，公安机关交通管理部门可以通知公路管理部门开启隔离设施、设置交通标志，车辆可以在对行行车道行驶。</w:t>
      </w:r>
    </w:p>
    <w:p>
      <w:pPr>
        <w:pStyle w:val="P11"/>
        <w:spacing w:lineRule="exact" w:line="560" w:before="0" w:after="0" w:beforeAutospacing="0" w:afterAutospacing="0"/>
        <w:ind w:firstLine="660"/>
        <w:contextualSpacing w:val="1"/>
        <w:jc w:val="both"/>
        <w:rPr>
          <w:rStyle w:val="C3"/>
          <w:rFonts w:ascii="仿宋_GB2312" w:hAnsi="仿宋_GB2312"/>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道路交通事故处理</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第四十五条</w:t>
      </w:r>
      <w:r>
        <w:rPr>
          <w:rStyle w:val="C3"/>
          <w:rFonts w:ascii="Microsoft YaHei UI" w:hAnsi="Microsoft YaHei UI"/>
          <w:sz w:val="32"/>
        </w:rPr>
        <w:t>　发生未造成人员伤亡的交通事故，当事人对事实及责任有争议的，应当标明位置，将车辆移至路边，等候交通警察处理。交通警察到达现场后，应当立即认定交通事故事实及当事人的责任，填写事故认定书，送达当事人。</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第四十六条</w:t>
      </w:r>
      <w:r>
        <w:rPr>
          <w:rStyle w:val="C3"/>
          <w:rFonts w:ascii="Microsoft YaHei UI" w:hAnsi="Microsoft YaHei UI"/>
          <w:sz w:val="32"/>
        </w:rPr>
        <w:t>　公安机关交通管理部门应当根据事故当事人的行为对发生交通事故所起的作用及其过错的严重程度，确定当事人的责任。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交通事故当事人的行为对发生交通事故所起作用和过错严重程度的评定标准，由市公安机关制定，报市人民政府批准后执行。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第四十七条</w:t>
      </w:r>
      <w:r>
        <w:rPr>
          <w:rStyle w:val="C3"/>
          <w:rFonts w:ascii="Microsoft YaHei UI" w:hAnsi="Microsoft YaHei UI"/>
          <w:sz w:val="32"/>
        </w:rPr>
        <w:t>　机动车与非机动车驾驶人、行人之间发生交通事故的损失超出强制保险责任限额的部分，机动车一方按照下列规定承担赔偿责任：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（一）机动车一方在交通事故中负全部责任的，承担百分之百的赔偿责任；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（二）机动车一方在交通事故中负主要责任的，承担百分之八十的赔偿责任；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（三）机动车一方在交通事故中负同等责任的，承担百分之六十的赔偿责任；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（四）机动车一方在交通事故中负次要责任的，承担百分之四十的赔偿责任；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在高速公路等封闭道路上发生交通事故的，机动车一方无责任的，按百分之五的赔偿责任给予赔偿，但赔偿金额最高不超过二万元；在其他道路上发生交通事故的，机动车一方无责任的，按百分之十的赔偿责任给予赔偿，但赔偿金额最高不超过四万元。</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交通事故的损失是由非机动车驾驶人、行人故意造成的，机动车一方不承担责任。</w:t>
      </w:r>
    </w:p>
    <w:p>
      <w:pPr>
        <w:pStyle w:val="P11"/>
        <w:spacing w:lineRule="exact" w:line="560" w:before="0" w:after="0" w:beforeAutospacing="0" w:afterAutospacing="0"/>
        <w:ind w:firstLine="555"/>
        <w:contextualSpacing w:val="1"/>
        <w:jc w:val="both"/>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交通事故当事人无正当理由不到公安机关交通管理部门接受事故调查的，公安机关交通管理部门应当在交通事故认定书中注明。当事人可以持交通事故认定书就损害赔偿问题向人民法院提起民事诉讼。</w:t>
      </w:r>
    </w:p>
    <w:p>
      <w:pPr>
        <w:pStyle w:val="P11"/>
        <w:spacing w:lineRule="exact" w:line="560" w:before="0" w:after="0" w:beforeAutospacing="0" w:afterAutospacing="0"/>
        <w:ind w:firstLine="555"/>
        <w:contextualSpacing w:val="1"/>
        <w:jc w:val="both"/>
        <w:rPr>
          <w:rStyle w:val="C3"/>
          <w:rFonts w:ascii="仿宋_GB2312" w:hAnsi="仿宋_GB2312"/>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法律责任</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第四十九条</w:t>
      </w:r>
      <w:r>
        <w:rPr>
          <w:rStyle w:val="C3"/>
          <w:rFonts w:ascii="Microsoft YaHei UI" w:hAnsi="Microsoft YaHei UI"/>
          <w:sz w:val="32"/>
        </w:rPr>
        <w:t>　机动车驾驶人未按规定随车携带信息卡的，由公安机关交通管理部门处五十元罚款。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第五十条</w:t>
      </w:r>
      <w:r>
        <w:rPr>
          <w:rStyle w:val="C3"/>
          <w:rFonts w:ascii="Microsoft YaHei UI" w:hAnsi="Microsoft YaHei UI"/>
          <w:sz w:val="32"/>
        </w:rPr>
        <w:t>　未取得教练车号牌的机动车用于教练的，由公安机关交通管理部门对机动车教练单位处一千元罚款。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第五十一条</w:t>
      </w:r>
      <w:r>
        <w:rPr>
          <w:rStyle w:val="C3"/>
          <w:rFonts w:ascii="Microsoft YaHei UI" w:hAnsi="Microsoft YaHei UI"/>
          <w:sz w:val="32"/>
        </w:rPr>
        <w:t>　驾驶警车、消防车、救护车、工程救险车的人员未随车携带特种车辆使用凭证的，由公安机关交通管理部门处二百元罚款。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第五十二条</w:t>
      </w:r>
      <w:r>
        <w:rPr>
          <w:rStyle w:val="C3"/>
          <w:rFonts w:ascii="Microsoft YaHei UI" w:hAnsi="Microsoft YaHei UI"/>
          <w:sz w:val="32"/>
        </w:rPr>
        <w:t>　报废机动车回收企业拆解大型客、货车及其他营运车辆，未向公安机关交通管理部门申报的，由公安机关交通管理部门责令改正，并按每辆车处一千元以上二千元以下罚款；拒不改正的，公安机关交通管理部门可以责令停业整顿。</w:t>
      </w:r>
    </w:p>
    <w:p>
      <w:pPr>
        <w:pStyle w:val="P1"/>
        <w:spacing w:lineRule="exact" w:line="560"/>
        <w:ind w:firstLine="452"/>
        <w:contextualSpacing w:val="1"/>
        <w:rPr>
          <w:rStyle w:val="C3"/>
          <w:rFonts w:ascii="仿宋_GB2312" w:hAnsi="仿宋_GB2312"/>
          <w:b w:val="1"/>
        </w:rPr>
      </w:pPr>
      <w:r>
        <w:rPr>
          <w:rStyle w:val="C3"/>
          <w:rFonts w:ascii="黑体" w:hAnsi="黑体"/>
        </w:rPr>
        <w:t>第五十三条</w:t>
      </w:r>
      <w:r>
        <w:rPr>
          <w:rStyle w:val="C3"/>
          <w:rFonts w:ascii="Microsoft YaHei UI" w:hAnsi="Microsoft YaHei UI"/>
        </w:rPr>
        <w:t>　在道路上未按规定高度架设临时设施或者设置物体的，由公安机关交通管理部门责令改正；拒不改正，其后果已经或者将危害交通安全的，由公安机关交通管理部门强制清除，所需费用由行为人承担，并可处五百元以上一千元以下罚款。</w:t>
      </w:r>
      <w:r>
        <w:rPr>
          <w:rStyle w:val="C3"/>
          <w:rFonts w:ascii="Microsoft YaHei UI" w:hAnsi="Microsoft YaHei UI"/>
          <w:b w:val="1"/>
        </w:rPr>
        <w:t>　　</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第五十四条</w:t>
      </w:r>
      <w:r>
        <w:rPr>
          <w:rStyle w:val="C3"/>
          <w:rFonts w:ascii="Microsoft YaHei UI" w:hAnsi="Microsoft YaHei UI"/>
          <w:sz w:val="32"/>
        </w:rPr>
        <w:t>　停车场擅自停止使用或者改作他用的，由公安机关交通管理部门责令有关责任人限期改正，并可按设计泊位数每一泊位处一千元以上二千元以下罚款。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第五十五条</w:t>
      </w:r>
      <w:r>
        <w:rPr>
          <w:rStyle w:val="C3"/>
          <w:rFonts w:ascii="Microsoft YaHei UI" w:hAnsi="Microsoft YaHei UI"/>
          <w:sz w:val="32"/>
        </w:rPr>
        <w:t>　在机动车前后挡风玻璃上张贴、悬挂、放置物品妨碍驾驶视线或者在机动车车顶设置立体广告的，由公安机关交通管理部门责令清除；拒不清除的，由公安机关交通管理部门处一百元罚款。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第五十六条</w:t>
      </w:r>
      <w:r>
        <w:rPr>
          <w:rStyle w:val="C3"/>
          <w:rFonts w:ascii="Microsoft YaHei UI" w:hAnsi="Microsoft YaHei UI"/>
          <w:sz w:val="32"/>
        </w:rPr>
        <w:t>　驾驶公共汽车、客运出租车违反本规定，有下列情形之一的，由公安机关交通管理部门处一百元罚款：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（一）公共汽车不按照规定进出站点或者在站点以外停车上下乘客；</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（二）客运出租车不按照规定上下乘客或者借用公共汽车站点上下乘客妨碍公共汽车正常行驶；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（三）客运出租车在公共汽车站点停车候客或者违反规定在道路上停车候客、揽客。</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第五十七条</w:t>
      </w:r>
      <w:r>
        <w:rPr>
          <w:rStyle w:val="C3"/>
          <w:rFonts w:ascii="Microsoft YaHei UI" w:hAnsi="Microsoft YaHei UI"/>
          <w:sz w:val="32"/>
        </w:rPr>
        <w:t>　公安机关交通管理部门实施交通技术监控应当公开进行。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公安机关交通管理部门根据交通技术监控记录资料，可以对违法的机动车所有人或者管理人予以处罚；对能够确定驾驶人的，应当对驾驶人予以处罚。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根据交通技术监控记录实施处罚的，公安机关交通管理部门应当将记录的事实及时通知当事人，履行告知义务，遵守法定程序，并为当事人查询有关情况提供方便。</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第五十八条</w:t>
      </w:r>
      <w:r>
        <w:rPr>
          <w:rStyle w:val="C3"/>
          <w:rFonts w:ascii="Microsoft YaHei UI" w:hAnsi="Microsoft YaHei UI"/>
          <w:sz w:val="32"/>
        </w:rPr>
        <w:t>　公安机关交通管理部门应当加强对交通警察的管理、教育和培训、考核，提高公正、严格、文明、高效执法的能力和素质；应当公开办事制度和程序，简化办事手续，方便人民群众；应当严格遵守法定职权和执法程序，加强执法督察，实行执法过错责任追究制，自觉接受行政监察机关依法实施的监督和社会公众的监督。</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公安机关交通管理部门应当公布举报电话，受理群众的举报和投诉并及时调查处理，反馈查处结果。</w:t>
      </w:r>
    </w:p>
    <w:p>
      <w:pPr>
        <w:pStyle w:val="P1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第五十九条</w:t>
      </w:r>
      <w:r>
        <w:rPr>
          <w:rStyle w:val="C3"/>
          <w:rFonts w:ascii="Microsoft YaHei UI" w:hAnsi="Microsoft YaHei UI"/>
          <w:sz w:val="32"/>
        </w:rPr>
        <w:t>　依法被扣留的车辆的所有人，未在规定的期限内接受处理的，公安机关交通管理部门应当将车辆依照法律、法规的规定送交有资格的拍卖机构拍卖。</w:t>
      </w:r>
    </w:p>
    <w:p>
      <w:pPr>
        <w:pStyle w:val="P11"/>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拍卖机构对其拍卖的车辆出具的成交证明和有关材料，可以作为买受人办理车辆证照变更手续的凭证。</w:t>
      </w:r>
    </w:p>
    <w:p>
      <w:pPr>
        <w:pStyle w:val="P11"/>
        <w:spacing w:lineRule="exact" w:line="560" w:before="0" w:after="0" w:beforeAutospacing="0" w:afterAutospacing="0"/>
        <w:ind w:firstLine="660"/>
        <w:contextualSpacing w:val="1"/>
        <w:jc w:val="both"/>
        <w:rPr>
          <w:rStyle w:val="C3"/>
          <w:rFonts w:ascii="仿宋_GB2312" w:hAnsi="仿宋_GB2312"/>
          <w:sz w:val="32"/>
        </w:rPr>
      </w:pPr>
    </w:p>
    <w:p>
      <w:pPr>
        <w:pStyle w:val="P37"/>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附则</w:t>
      </w:r>
    </w:p>
    <w:p>
      <w:pPr>
        <w:pStyle w:val="P37"/>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第六十条</w:t>
      </w:r>
      <w:r>
        <w:rPr>
          <w:rStyle w:val="C3"/>
          <w:rFonts w:ascii="Microsoft YaHei UI" w:hAnsi="Microsoft YaHei UI"/>
          <w:sz w:val="32"/>
        </w:rPr>
        <w:t>　本市鼓励单位和个人向道路交通事故社会救助基金捐赠。</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本市机动车号牌号码随机发放。机动车所有人或者管理人对部分小型机动车号牌号码有特殊要求的，市公安机关交通管理部门可以有偿发放，全部收入用于补充本市道路交通事故社会救助基金。</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本市登记的机动车应当依法投保第三者责任强制保险，并可以投保车辆损失险、人身安全险等保险。</w:t>
      </w:r>
    </w:p>
    <w:p>
      <w:pPr>
        <w:pStyle w:val="P38"/>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第六十一条</w:t>
      </w:r>
      <w:r>
        <w:rPr>
          <w:rStyle w:val="C3"/>
          <w:rFonts w:ascii="Microsoft YaHei UI" w:hAnsi="Microsoft YaHei UI"/>
          <w:sz w:val="32"/>
        </w:rPr>
        <w:t>　本规定自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日发布的《天津市道路交通管理规定》（</w:t>
      </w:r>
      <w:r>
        <w:rPr>
          <w:rStyle w:val="C3"/>
          <w:rFonts w:ascii="仿宋_GB2312" w:hAnsi="仿宋_GB2312"/>
          <w:sz w:val="32"/>
        </w:rPr>
        <w:t>1999</w:t>
      </w:r>
      <w:r>
        <w:rPr>
          <w:rStyle w:val="C3"/>
          <w:rFonts w:ascii="Microsoft YaHei UI" w:hAnsi="Microsoft YaHei UI"/>
          <w:sz w:val="32"/>
        </w:rPr>
        <w:t>年市人民政府令第</w:t>
      </w:r>
      <w:r>
        <w:rPr>
          <w:rStyle w:val="C3"/>
          <w:rFonts w:ascii="仿宋_GB2312" w:hAnsi="仿宋_GB2312"/>
          <w:sz w:val="32"/>
        </w:rPr>
        <w:t>10</w:t>
      </w:r>
      <w:r>
        <w:rPr>
          <w:rStyle w:val="C3"/>
          <w:rFonts w:ascii="Microsoft YaHei UI" w:hAnsi="Microsoft YaHei UI"/>
          <w:sz w:val="32"/>
        </w:rPr>
        <w:t>号）同时废止。</w:t>
      </w: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msonormalcxspmiddlecxsplastcxsplast"/>
    <w:basedOn w:val="P1"/>
    <w:next w:val="P3"/>
    <w:pPr>
      <w:widowControl w:val="1"/>
      <w:spacing w:before="100" w:after="100" w:beforeAutospacing="1" w:afterAutospacing="1"/>
      <w:jc w:val="left"/>
    </w:pPr>
    <w:rPr>
      <w:rFonts w:ascii="宋体" w:hAnsi="宋体"/>
      <w:sz w:val="24"/>
    </w:rPr>
  </w:style>
  <w:style w:type="paragraph" w:styleId="P4">
    <w:name w:val="Char Char Char Char"/>
    <w:basedOn w:val="P1"/>
    <w:next w:val="P4"/>
    <w:pPr>
      <w:widowControl w:val="1"/>
      <w:spacing w:lineRule="exact" w:line="240" w:after="160"/>
      <w:jc w:val="left"/>
    </w:pPr>
    <w:rPr>
      <w:rFonts w:ascii="Verdana" w:hAnsi="Verdana"/>
      <w:sz w:val="20"/>
    </w:rPr>
  </w:style>
  <w:style w:type="paragraph" w:styleId="P5">
    <w:name w:val="msonormalcxspmiddlecxsplast"/>
    <w:basedOn w:val="P1"/>
    <w:next w:val="P5"/>
    <w:pPr>
      <w:widowControl w:val="1"/>
      <w:spacing w:before="100" w:after="100" w:beforeAutospacing="1" w:afterAutospacing="1"/>
      <w:jc w:val="left"/>
    </w:pPr>
    <w:rPr>
      <w:rFonts w:ascii="宋体" w:hAnsi="宋体"/>
      <w:sz w:val="24"/>
    </w:rPr>
  </w:style>
  <w:style w:type="paragraph" w:styleId="P6">
    <w:name w:val="正文文本缩进"/>
    <w:basedOn w:val="P1"/>
    <w:next w:val="P6"/>
    <w:link w:val="C6"/>
    <w:pPr>
      <w:spacing w:after="120"/>
      <w:ind w:left="420"/>
    </w:pPr>
    <w:rPr/>
  </w:style>
  <w:style w:type="paragraph" w:styleId="P7">
    <w:name w:val="正文文本缩进 2"/>
    <w:basedOn w:val="P1"/>
    <w:next w:val="P7"/>
    <w:link w:val="C18"/>
    <w:pPr>
      <w:spacing w:lineRule="auto" w:line="480" w:after="120"/>
      <w:ind w:left="420"/>
    </w:pPr>
    <w:rPr/>
  </w:style>
  <w:style w:type="paragraph" w:styleId="P8">
    <w:name w:val="zhang"/>
    <w:basedOn w:val="P1"/>
    <w:next w:val="P8"/>
    <w:pPr>
      <w:widowControl w:val="1"/>
      <w:spacing w:before="100" w:after="100" w:beforeAutospacing="1" w:afterAutospacing="1"/>
      <w:jc w:val="left"/>
    </w:pPr>
    <w:rPr>
      <w:rFonts w:ascii="宋体" w:hAnsi="宋体"/>
      <w:b w:val="1"/>
      <w:color w:val="000000"/>
      <w:sz w:val="20"/>
    </w:rPr>
  </w:style>
  <w:style w:type="paragraph" w:styleId="P9">
    <w:name w:val="文档结构图"/>
    <w:basedOn w:val="P1"/>
    <w:next w:val="P9"/>
    <w:pPr>
      <w:shd w:val="clear" w:fill="000080"/>
    </w:pPr>
    <w:rPr/>
  </w:style>
  <w:style w:type="paragraph" w:styleId="P10">
    <w:name w:val="页眉"/>
    <w:basedOn w:val="P1"/>
    <w:next w:val="P10"/>
    <w:link w:val="C25"/>
    <w:pPr>
      <w:pBdr>
        <w:bottom w:val="single" w:sz="6" w:space="0" w:shadow="0" w:frame="0"/>
      </w:pBdr>
      <w:tabs>
        <w:tab w:val="center" w:pos="4153" w:leader="none"/>
        <w:tab w:val="right" w:pos="8306" w:leader="none"/>
      </w:tabs>
      <w:jc w:val="center"/>
    </w:pPr>
    <w:rPr>
      <w:sz w:val="18"/>
    </w:rPr>
  </w:style>
  <w:style w:type="paragraph" w:styleId="P11">
    <w:name w:val="msonormalcxsplast"/>
    <w:basedOn w:val="P1"/>
    <w:next w:val="P11"/>
    <w:pPr>
      <w:widowControl w:val="1"/>
      <w:spacing w:before="100" w:after="100" w:beforeAutospacing="1" w:afterAutospacing="1"/>
      <w:jc w:val="left"/>
    </w:pPr>
    <w:rPr>
      <w:rFonts w:ascii="宋体" w:hAnsi="宋体"/>
      <w:sz w:val="24"/>
    </w:rPr>
  </w:style>
  <w:style w:type="paragraph" w:styleId="P12">
    <w:name w:val="正文文本"/>
    <w:basedOn w:val="P1"/>
    <w:next w:val="P12"/>
    <w:link w:val="C22"/>
    <w:pPr/>
    <w:rPr/>
  </w:style>
  <w:style w:type="paragraph" w:styleId="P13">
    <w:name w:val="日期"/>
    <w:basedOn w:val="P1"/>
    <w:next w:val="P1"/>
    <w:pPr>
      <w:ind w:left="100"/>
    </w:pPr>
    <w:rPr>
      <w:rFonts w:ascii="仿宋_GB2312" w:hAnsi="仿宋_GB2312"/>
    </w:rPr>
  </w:style>
  <w:style w:type="paragraph" w:styleId="P14">
    <w:name w:val="批注框文本"/>
    <w:basedOn w:val="P1"/>
    <w:next w:val="P14"/>
    <w:link w:val="C17"/>
    <w:pPr/>
    <w:rPr>
      <w:sz w:val="18"/>
    </w:rPr>
  </w:style>
  <w:style w:type="paragraph" w:styleId="P15">
    <w:name w:val="纯文本"/>
    <w:basedOn w:val="P1"/>
    <w:next w:val="P15"/>
    <w:link w:val="C7"/>
    <w:pPr/>
    <w:rPr>
      <w:rFonts w:ascii="华文宋体" w:hAnsi="华文宋体"/>
    </w:rPr>
  </w:style>
  <w:style w:type="paragraph" w:styleId="P16">
    <w:name w:val="样式2"/>
    <w:basedOn w:val="P1"/>
    <w:next w:val="P16"/>
    <w:link w:val="C16"/>
    <w:pPr/>
    <w:rPr>
      <w:rFonts w:ascii="仿宋_GB2312" w:hAnsi="仿宋_GB2312"/>
      <w:b w:val="1"/>
      <w:color w:val="000000"/>
    </w:rPr>
  </w:style>
  <w:style w:type="paragraph" w:styleId="P17">
    <w:name w:val="正文文本缩进 3"/>
    <w:basedOn w:val="P1"/>
    <w:next w:val="P17"/>
    <w:link w:val="C24"/>
    <w:pPr>
      <w:spacing w:after="120"/>
      <w:ind w:left="420"/>
    </w:pPr>
    <w:rPr>
      <w:sz w:val="16"/>
    </w:rPr>
  </w:style>
  <w:style w:type="paragraph" w:styleId="P18">
    <w:name w:val="正文文本 2"/>
    <w:basedOn w:val="P1"/>
    <w:next w:val="P18"/>
    <w:link w:val="C29"/>
    <w:pPr>
      <w:spacing w:lineRule="auto" w:line="480" w:after="120"/>
    </w:pPr>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普通(网站)"/>
    <w:basedOn w:val="P1"/>
    <w:next w:val="P20"/>
    <w:link w:val="C19"/>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p16"/>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msonormal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20"/>
    <w:pPr>
      <w:widowControl w:val="1"/>
      <w:spacing w:before="100" w:after="100" w:beforeAutospacing="1" w:afterAutospacing="1"/>
      <w:jc w:val="left"/>
    </w:pPr>
    <w:rPr>
      <w:rFonts w:ascii="Arial Unicode MS" w:hAnsi="Arial Unicode MS"/>
      <w:sz w:val="24"/>
    </w:rPr>
  </w:style>
  <w:style w:type="paragraph" w:styleId="P36">
    <w:name w:val="msonormalcxspmiddle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15"/>
    <w:next w:val="P41"/>
    <w:link w:val="C41"/>
    <w:qFormat/>
    <w:pPr>
      <w:ind w:firstLine="632"/>
      <w:jc w:val="center"/>
    </w:pPr>
    <w:rPr>
      <w:rFonts w:ascii="黑体" w:hAnsi="黑体"/>
    </w:rPr>
  </w:style>
  <w:style w:type="paragraph" w:styleId="P42">
    <w:name w:val="样式1"/>
    <w:basedOn w:val="P15"/>
    <w:next w:val="P42"/>
    <w:link w:val="C42"/>
    <w:qFormat/>
    <w:pPr>
      <w:ind w:firstLine="632"/>
    </w:pPr>
    <w:rPr>
      <w:rFonts w:ascii="楷体_GB2312" w:hAnsi="楷体_GB2312"/>
    </w:rPr>
  </w:style>
  <w:style w:type="paragraph" w:styleId="P43">
    <w:name w:val="样式3"/>
    <w:basedOn w:val="P16"/>
    <w:next w:val="P43"/>
    <w:link w:val="C45"/>
    <w:qFormat/>
    <w:pPr/>
    <w:rPr/>
  </w:style>
  <w:style w:type="paragraph" w:styleId="P44">
    <w:name w:val="标题2"/>
    <w:basedOn w:val="P20"/>
    <w:next w:val="P44"/>
    <w:link w:val="C46"/>
    <w:pPr>
      <w:widowControl w:val="0"/>
      <w:jc w:val="center"/>
    </w:pPr>
    <w:rPr>
      <w:rFonts w:ascii="楷体_GB2312" w:hAnsi="楷体_GB2312"/>
      <w:color w:val="000000"/>
      <w:sz w:val="32"/>
    </w:rPr>
  </w:style>
  <w:style w:type="paragraph" w:styleId="P45">
    <w:name w:val="标题1"/>
    <w:basedOn w:val="P20"/>
    <w:next w:val="P45"/>
    <w:link w:val="C48"/>
    <w:qFormat/>
    <w:pPr>
      <w:spacing w:lineRule="exact" w:line="600"/>
      <w:jc w:val="center"/>
    </w:pPr>
    <w:rPr>
      <w:rFonts w:ascii="方正小标宋简体" w:hAnsi="方正小标宋简体"/>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3 Char Char"/>
    <w:basedOn w:val="C3"/>
    <w:rPr>
      <w:sz w:val="32"/>
    </w:rPr>
  </w:style>
  <w:style w:type="character" w:styleId="C5">
    <w:name w:val="页脚 Char Char"/>
    <w:basedOn w:val="C3"/>
    <w:rPr>
      <w:sz w:val="18"/>
    </w:rPr>
  </w:style>
  <w:style w:type="character" w:styleId="C6">
    <w:name w:val="正文文本缩进 Char"/>
    <w:basedOn w:val="C3"/>
    <w:link w:val="P6"/>
    <w:rPr/>
  </w:style>
  <w:style w:type="character" w:styleId="C7">
    <w:name w:val="纯文本 Char"/>
    <w:basedOn w:val="C3"/>
    <w:link w:val="P15"/>
    <w:rPr>
      <w:rFonts w:ascii="华文宋体" w:hAnsi="华文宋体"/>
    </w:rPr>
  </w:style>
  <w:style w:type="character" w:styleId="C8">
    <w:name w:val="页码"/>
    <w:basedOn w:val="C3"/>
    <w:rPr/>
  </w:style>
  <w:style w:type="character" w:styleId="C9">
    <w:name w:val="强调"/>
    <w:basedOn w:val="C3"/>
    <w:qFormat/>
    <w:rPr>
      <w:color w:val="CC0000"/>
    </w:rPr>
  </w:style>
  <w:style w:type="character" w:styleId="C10">
    <w:name w:val="要点"/>
    <w:basedOn w:val="C3"/>
    <w:qFormat/>
    <w:rPr>
      <w:b w:val="1"/>
    </w:rPr>
  </w:style>
  <w:style w:type="character" w:styleId="C11">
    <w:name w:val="超链接"/>
    <w:basedOn w:val="C3"/>
    <w:rPr>
      <w:color w:val="0000FF"/>
      <w:u w:val="single"/>
    </w:rPr>
  </w:style>
  <w:style w:type="character" w:styleId="C12">
    <w:name w:val="纯文本 Char1"/>
    <w:basedOn w:val="C3"/>
    <w:rPr>
      <w:rFonts w:ascii="宋体" w:hAnsi="宋体"/>
      <w:sz w:val="21"/>
    </w:rPr>
  </w:style>
  <w:style w:type="character" w:styleId="C13">
    <w:name w:val="正文文本 Char1"/>
    <w:basedOn w:val="C3"/>
    <w:rPr>
      <w:rFonts w:ascii="Times New Roman" w:hAnsi="Times New Roman"/>
      <w:sz w:val="32"/>
    </w:rPr>
  </w:style>
  <w:style w:type="character" w:styleId="C14">
    <w:name w:val="纯文本 Char Char"/>
    <w:basedOn w:val="C3"/>
    <w:rPr>
      <w:rFonts w:ascii="宋体" w:hAnsi="宋体"/>
      <w:sz w:val="32"/>
    </w:rPr>
  </w:style>
  <w:style w:type="character" w:styleId="C15">
    <w:name w:val="Char Char4"/>
    <w:basedOn w:val="C3"/>
    <w:rPr>
      <w:rFonts w:ascii="文星仿宋" w:hAnsi="文星仿宋"/>
      <w:sz w:val="32"/>
    </w:rPr>
  </w:style>
  <w:style w:type="character" w:styleId="C16">
    <w:name w:val="样式2 Char Char"/>
    <w:basedOn w:val="C3"/>
    <w:link w:val="P16"/>
    <w:rPr>
      <w:rFonts w:ascii="仿宋_GB2312" w:hAnsi="仿宋_GB2312"/>
      <w:b w:val="1"/>
      <w:color w:val="000000"/>
    </w:rPr>
  </w:style>
  <w:style w:type="character" w:styleId="C17">
    <w:name w:val="批注框文本 Char"/>
    <w:basedOn w:val="C3"/>
    <w:link w:val="P14"/>
    <w:rPr>
      <w:sz w:val="18"/>
    </w:rPr>
  </w:style>
  <w:style w:type="character" w:styleId="C18">
    <w:name w:val="正文文本缩进 2 Char"/>
    <w:basedOn w:val="C3"/>
    <w:link w:val="P7"/>
    <w:rPr/>
  </w:style>
  <w:style w:type="character" w:styleId="C19">
    <w:name w:val="普通(网站) Char"/>
    <w:basedOn w:val="C3"/>
    <w:link w:val="P20"/>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2"/>
    <w:rPr/>
  </w:style>
  <w:style w:type="character" w:styleId="C23">
    <w:name w:val="test1"/>
    <w:basedOn w:val="C3"/>
    <w:rPr>
      <w:sz w:val="25"/>
    </w:rPr>
  </w:style>
  <w:style w:type="character" w:styleId="C24">
    <w:name w:val="正文文本缩进 3 Char"/>
    <w:basedOn w:val="C3"/>
    <w:link w:val="P17"/>
    <w:rPr>
      <w:sz w:val="16"/>
    </w:rPr>
  </w:style>
  <w:style w:type="character" w:styleId="C25">
    <w:name w:val="页眉 Char"/>
    <w:basedOn w:val="C3"/>
    <w:link w:val="P10"/>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8"/>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HTML 预设格式 Char Char"/>
    <w:basedOn w:val="C3"/>
    <w:rPr>
      <w:rFonts w:ascii="宋体" w:hAnsi="宋体"/>
      <w:sz w:val="24"/>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Char"/>
    <w:basedOn w:val="C7"/>
    <w:link w:val="P41"/>
    <w:rPr>
      <w:rFonts w:ascii="黑体" w:hAnsi="黑体"/>
    </w:rPr>
  </w:style>
  <w:style w:type="character" w:styleId="C42">
    <w:name w:val="样式1 Char Char"/>
    <w:basedOn w:val="C7"/>
    <w:link w:val="P42"/>
    <w:rPr>
      <w:rFonts w:ascii="楷体_GB2312" w:hAnsi="楷体_GB2312"/>
    </w:rPr>
  </w:style>
  <w:style w:type="character" w:styleId="C43">
    <w:name w:val="标题3 Char"/>
    <w:basedOn w:val="C12"/>
    <w:rPr>
      <w:rFonts w:ascii="黑体" w:hAnsi="黑体"/>
      <w:sz w:val="32"/>
    </w:rPr>
  </w:style>
  <w:style w:type="character" w:styleId="C44">
    <w:name w:val="样式1 Char"/>
    <w:basedOn w:val="C12"/>
    <w:rPr>
      <w:rFonts w:ascii="楷体_GB2312" w:hAnsi="楷体_GB2312"/>
      <w:sz w:val="32"/>
    </w:rPr>
  </w:style>
  <w:style w:type="character" w:styleId="C45">
    <w:name w:val="样式3 Char Char"/>
    <w:basedOn w:val="C16"/>
    <w:link w:val="P43"/>
    <w:rPr/>
  </w:style>
  <w:style w:type="character" w:styleId="C46">
    <w:name w:val="标题2 Char Char"/>
    <w:basedOn w:val="C19"/>
    <w:link w:val="P44"/>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5"/>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