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042FFD4" Type="http://schemas.openxmlformats.org/officeDocument/2006/relationships/officeDocument" Target="/word/document.xml" /><Relationship Id="coreR4042FFD4" Type="http://schemas.openxmlformats.org/package/2006/relationships/metadata/core-properties" Target="/docProps/core.xml" /><Relationship Id="customR4042FF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9"/>
        <w:widowControl w:val="0"/>
        <w:spacing w:lineRule="exact" w:line="700"/>
        <w:jc w:val="center"/>
        <w:rPr>
          <w:rStyle w:val="C3"/>
          <w:rFonts w:ascii="宋体" w:hAnsi="宋体"/>
          <w:color w:val="000000"/>
          <w:sz w:val="32"/>
        </w:rPr>
      </w:pPr>
    </w:p>
    <w:p>
      <w:pPr>
        <w:pStyle w:val="P9"/>
        <w:widowControl w:val="0"/>
        <w:spacing w:lineRule="exact" w:line="700"/>
        <w:jc w:val="center"/>
        <w:rPr>
          <w:rStyle w:val="C3"/>
          <w:rFonts w:ascii="宋体" w:hAnsi="宋体"/>
          <w:color w:val="000000"/>
          <w:sz w:val="44"/>
        </w:rPr>
      </w:pPr>
      <w:r>
        <w:rPr>
          <w:rStyle w:val="C3"/>
          <w:rFonts w:ascii="宋体" w:hAnsi="宋体"/>
          <w:color w:val="000000"/>
          <w:sz w:val="44"/>
        </w:rPr>
        <w:t>西藏自治区人民代表大会常务委员会关于</w:t>
      </w:r>
    </w:p>
    <w:p>
      <w:pPr>
        <w:pStyle w:val="P9"/>
        <w:widowControl w:val="0"/>
        <w:spacing w:lineRule="exact" w:line="700"/>
        <w:jc w:val="center"/>
        <w:rPr>
          <w:rStyle w:val="C3"/>
          <w:rFonts w:ascii="宋体" w:hAnsi="宋体"/>
          <w:color w:val="000000"/>
          <w:sz w:val="44"/>
        </w:rPr>
      </w:pPr>
      <w:r>
        <w:rPr>
          <w:rStyle w:val="C3"/>
          <w:rFonts w:ascii="宋体" w:hAnsi="宋体"/>
          <w:color w:val="000000"/>
          <w:sz w:val="44"/>
        </w:rPr>
        <w:t>资源税具体适用税率等有关事项的决定</w:t>
      </w:r>
    </w:p>
    <w:p>
      <w:pPr>
        <w:pStyle w:val="P5"/>
        <w:widowControl w:val="0"/>
        <w:spacing w:lineRule="exact" w:line="40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日西藏自治区第十一届人民代表大会</w:t>
      </w:r>
    </w:p>
    <w:p>
      <w:pPr>
        <w:pStyle w:val="P5"/>
        <w:widowControl w:val="0"/>
        <w:spacing w:lineRule="exact" w:line="400"/>
        <w:jc w:val="center"/>
        <w:rPr>
          <w:rStyle w:val="C3"/>
          <w:rFonts w:ascii="楷体_GB2312" w:hAnsi="楷体_GB2312"/>
          <w:color w:val="000000"/>
          <w:sz w:val="32"/>
        </w:rPr>
      </w:pPr>
      <w:r>
        <w:rPr>
          <w:rStyle w:val="C3"/>
          <w:rFonts w:ascii="Microsoft YaHei UI" w:hAnsi="Microsoft YaHei UI"/>
          <w:color w:val="000000"/>
          <w:sz w:val="32"/>
        </w:rPr>
        <w:t>常务委员会第二十一次会议通过）</w:t>
      </w:r>
    </w:p>
    <w:p>
      <w:pPr>
        <w:pStyle w:val="P4"/>
        <w:widowControl w:val="0"/>
        <w:spacing w:lineRule="exact" w:line="400"/>
        <w:ind w:firstLine="640"/>
        <w:rPr>
          <w:rStyle w:val="C3"/>
          <w:rFonts w:ascii="方正仿宋简体" w:hAnsi="方正仿宋简体"/>
          <w:sz w:val="32"/>
        </w:rPr>
      </w:pPr>
    </w:p>
    <w:p>
      <w:pPr>
        <w:pStyle w:val="P4"/>
        <w:widowControl w:val="0"/>
        <w:spacing w:lineRule="exact" w:line="500"/>
        <w:ind w:firstLine="640"/>
        <w:rPr>
          <w:rStyle w:val="C3"/>
          <w:rFonts w:ascii="仿宋_GB2312" w:hAnsi="仿宋_GB2312"/>
          <w:sz w:val="32"/>
        </w:rPr>
      </w:pPr>
      <w:r>
        <w:rPr>
          <w:rStyle w:val="C3"/>
          <w:rFonts w:ascii="Microsoft YaHei UI" w:hAnsi="Microsoft YaHei UI"/>
          <w:sz w:val="32"/>
        </w:rPr>
        <w:t>根据《中华人民共和国资源税法》有关规定，现对西藏自治区资源税有关事项作出如下决定：</w:t>
      </w:r>
    </w:p>
    <w:p>
      <w:pPr>
        <w:pStyle w:val="P4"/>
        <w:widowControl w:val="0"/>
        <w:spacing w:lineRule="exact" w:line="500"/>
        <w:ind w:firstLine="640"/>
        <w:rPr>
          <w:rStyle w:val="C3"/>
          <w:rFonts w:ascii="仿宋_GB2312" w:hAnsi="仿宋_GB2312"/>
          <w:sz w:val="32"/>
        </w:rPr>
      </w:pPr>
      <w:r>
        <w:rPr>
          <w:rStyle w:val="C3"/>
          <w:rFonts w:ascii="Microsoft YaHei UI" w:hAnsi="Microsoft YaHei UI"/>
          <w:sz w:val="32"/>
        </w:rPr>
        <w:t>一、西藏自治区资源税的税目、税率，依照《中华人民共和国资源税法》所附《资源税税目税率表》和本决定所附《西藏自治区资源税税目税率表》执行。</w:t>
      </w:r>
    </w:p>
    <w:p>
      <w:pPr>
        <w:pStyle w:val="P4"/>
        <w:widowControl w:val="0"/>
        <w:spacing w:lineRule="exact" w:line="500"/>
        <w:ind w:firstLine="640"/>
        <w:rPr>
          <w:rStyle w:val="C3"/>
          <w:rFonts w:ascii="仿宋_GB2312" w:hAnsi="仿宋_GB2312"/>
          <w:sz w:val="32"/>
        </w:rPr>
      </w:pPr>
      <w:r>
        <w:rPr>
          <w:rStyle w:val="C3"/>
          <w:rFonts w:ascii="Microsoft YaHei UI" w:hAnsi="Microsoft YaHei UI"/>
          <w:sz w:val="32"/>
        </w:rPr>
        <w:t>二、《中华人民共和国资源税法》规定可以选择实行从价计征或者从量计征的六个资源税税目中，石灰岩、砂石、矿泉水、天然卤水资源税实行从价计征；地热、其他粘土资源税实行从量计征。</w:t>
      </w:r>
    </w:p>
    <w:p>
      <w:pPr>
        <w:pStyle w:val="P4"/>
        <w:widowControl w:val="0"/>
        <w:spacing w:lineRule="exact" w:line="500"/>
        <w:ind w:firstLine="640"/>
        <w:rPr>
          <w:rStyle w:val="C3"/>
          <w:rFonts w:ascii="仿宋_GB2312" w:hAnsi="仿宋_GB2312"/>
          <w:sz w:val="32"/>
        </w:rPr>
      </w:pPr>
      <w:r>
        <w:rPr>
          <w:rStyle w:val="C3"/>
          <w:rFonts w:ascii="Microsoft YaHei UI" w:hAnsi="Microsoft YaHei UI"/>
          <w:sz w:val="32"/>
        </w:rPr>
        <w:t>三、免征或者减征规定：</w:t>
      </w:r>
    </w:p>
    <w:p>
      <w:pPr>
        <w:pStyle w:val="P4"/>
        <w:widowControl w:val="0"/>
        <w:spacing w:lineRule="exact" w:line="500"/>
        <w:ind w:firstLine="640"/>
        <w:rPr>
          <w:rStyle w:val="C3"/>
          <w:rFonts w:ascii="仿宋_GB2312" w:hAnsi="仿宋_GB2312"/>
          <w:sz w:val="32"/>
        </w:rPr>
      </w:pPr>
      <w:r>
        <w:rPr>
          <w:rStyle w:val="C3"/>
          <w:rFonts w:ascii="Microsoft YaHei UI" w:hAnsi="Microsoft YaHei UI"/>
          <w:sz w:val="32"/>
        </w:rPr>
        <w:t>（一）纳税人开采或者生产应税产品过程中，因意外事故或者自然灾害等原因遭受重大损失，免征资源税。</w:t>
      </w:r>
    </w:p>
    <w:p>
      <w:pPr>
        <w:pStyle w:val="P4"/>
        <w:widowControl w:val="0"/>
        <w:spacing w:lineRule="exact" w:line="500"/>
        <w:ind w:firstLine="640"/>
        <w:rPr>
          <w:rStyle w:val="C3"/>
          <w:rFonts w:ascii="仿宋_GB2312" w:hAnsi="仿宋_GB2312"/>
          <w:sz w:val="32"/>
        </w:rPr>
      </w:pPr>
      <w:r>
        <w:rPr>
          <w:rStyle w:val="C3"/>
          <w:rFonts w:ascii="Microsoft YaHei UI" w:hAnsi="Microsoft YaHei UI"/>
          <w:sz w:val="32"/>
        </w:rPr>
        <w:t>（二）纳税人开采共伴生矿、尾矿，免征资源税；纳税人开采低品位矿，资源税减征</w:t>
      </w:r>
      <w:r>
        <w:rPr>
          <w:rStyle w:val="C3"/>
          <w:rFonts w:ascii="仿宋_GB2312" w:hAnsi="仿宋_GB2312"/>
          <w:sz w:val="32"/>
        </w:rPr>
        <w:t>50%</w:t>
      </w:r>
      <w:r>
        <w:rPr>
          <w:rStyle w:val="C3"/>
          <w:rFonts w:ascii="Microsoft YaHei UI" w:hAnsi="Microsoft YaHei UI"/>
          <w:sz w:val="32"/>
        </w:rPr>
        <w:t>。</w:t>
      </w:r>
    </w:p>
    <w:p>
      <w:pPr>
        <w:pStyle w:val="P4"/>
        <w:widowControl w:val="0"/>
        <w:spacing w:lineRule="exact" w:line="500"/>
        <w:ind w:firstLine="640"/>
        <w:rPr>
          <w:rStyle w:val="C3"/>
          <w:rFonts w:ascii="仿宋_GB2312" w:hAnsi="仿宋_GB2312"/>
          <w:sz w:val="32"/>
        </w:rPr>
      </w:pPr>
      <w:r>
        <w:rPr>
          <w:rStyle w:val="C3"/>
          <w:rFonts w:ascii="Microsoft YaHei UI" w:hAnsi="Microsoft YaHei UI"/>
          <w:sz w:val="32"/>
        </w:rPr>
        <w:t>四、本决定自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日起施行。《西藏自治区资源税暂行办法》（西藏自治区人民政府令</w:t>
      </w:r>
      <w:r>
        <w:rPr>
          <w:rStyle w:val="C3"/>
          <w:rFonts w:ascii="仿宋_GB2312" w:hAnsi="仿宋_GB2312"/>
          <w:sz w:val="32"/>
        </w:rPr>
        <w:t>1994</w:t>
      </w:r>
      <w:r>
        <w:rPr>
          <w:rStyle w:val="C3"/>
          <w:rFonts w:ascii="Microsoft YaHei UI" w:hAnsi="Microsoft YaHei UI"/>
          <w:sz w:val="32"/>
        </w:rPr>
        <w:t>年第</w:t>
      </w:r>
      <w:r>
        <w:rPr>
          <w:rStyle w:val="C3"/>
          <w:rFonts w:ascii="仿宋_GB2312" w:hAnsi="仿宋_GB2312"/>
          <w:sz w:val="32"/>
        </w:rPr>
        <w:t>1</w:t>
      </w:r>
      <w:r>
        <w:rPr>
          <w:rStyle w:val="C3"/>
          <w:rFonts w:ascii="Microsoft YaHei UI" w:hAnsi="Microsoft YaHei UI"/>
          <w:sz w:val="32"/>
        </w:rPr>
        <w:t>号）同时废止。</w:t>
      </w:r>
    </w:p>
    <w:p>
      <w:pPr>
        <w:pStyle w:val="P4"/>
        <w:widowControl w:val="0"/>
        <w:spacing w:lineRule="exact" w:line="500"/>
        <w:ind w:firstLine="640"/>
        <w:rPr>
          <w:rStyle w:val="C3"/>
          <w:rFonts w:ascii="方正仿宋简体" w:hAnsi="方正仿宋简体"/>
          <w:sz w:val="32"/>
        </w:rPr>
      </w:pPr>
      <w:r>
        <w:rPr>
          <w:rStyle w:val="C3"/>
          <w:rFonts w:ascii="Microsoft YaHei UI" w:hAnsi="Microsoft YaHei UI"/>
          <w:sz w:val="32"/>
        </w:rPr>
        <w:t>附件：西藏自治区资源税税目税率表</w:t>
      </w:r>
    </w:p>
    <w:p>
      <w:pPr>
        <w:pStyle w:val="P4"/>
        <w:widowControl w:val="0"/>
        <w:spacing w:lineRule="atLeast" w:line="576"/>
        <w:rPr>
          <w:rStyle w:val="C3"/>
          <w:rFonts w:ascii="黑体" w:hAnsi="黑体"/>
          <w:sz w:val="32"/>
          <w:highlight w:val="white"/>
        </w:rPr>
      </w:pPr>
    </w:p>
    <w:p>
      <w:pPr>
        <w:pStyle w:val="P4"/>
        <w:widowControl w:val="0"/>
        <w:spacing w:lineRule="atLeast" w:line="576"/>
        <w:rPr>
          <w:rStyle w:val="C3"/>
          <w:rFonts w:ascii="黑体" w:hAnsi="黑体"/>
          <w:sz w:val="32"/>
          <w:highlight w:val="white"/>
        </w:rPr>
      </w:pPr>
      <w:r>
        <w:rPr>
          <w:rStyle w:val="C3"/>
          <w:rFonts w:ascii="黑体" w:hAnsi="黑体"/>
          <w:sz w:val="32"/>
          <w:highlight w:val="white"/>
        </w:rPr>
        <w:t>附件</w:t>
      </w:r>
    </w:p>
    <w:p>
      <w:pPr>
        <w:pStyle w:val="P4"/>
        <w:widowControl w:val="0"/>
        <w:spacing w:lineRule="atLeast" w:line="700"/>
        <w:jc w:val="center"/>
        <w:rPr>
          <w:rStyle w:val="C3"/>
          <w:rFonts w:ascii="宋体" w:hAnsi="宋体"/>
          <w:color w:val="000000"/>
          <w:sz w:val="44"/>
        </w:rPr>
      </w:pPr>
      <w:r>
        <w:rPr>
          <w:rStyle w:val="C3"/>
          <w:rFonts w:ascii="宋体" w:hAnsi="宋体"/>
          <w:color w:val="000000"/>
          <w:sz w:val="44"/>
        </w:rPr>
        <w:t>西藏自治区资源税税目税率表</w:t>
      </w:r>
    </w:p>
    <w:p>
      <w:pPr>
        <w:pStyle w:val="P4"/>
        <w:widowControl w:val="0"/>
        <w:spacing w:lineRule="exact" w:line="200"/>
        <w:jc w:val="center"/>
        <w:rPr>
          <w:rStyle w:val="C3"/>
          <w:rFonts w:ascii="宋体" w:hAnsi="宋体"/>
          <w:color w:val="000000"/>
          <w:sz w:val="44"/>
        </w:rPr>
      </w:pPr>
    </w:p>
    <w:tbl>
      <w:tblPr>
        <w:jc w:val="cente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fixed"/>
        <w:tblCellMar>
          <w:top w:w="0" w:type="dxa"/>
          <w:left w:w="108" w:type="dxa"/>
          <w:bottom w:w="0" w:type="dxa"/>
          <w:right w:w="108" w:type="dxa"/>
        </w:tblCellMar>
      </w:tblPr>
      <w:tblGrid/>
      <w:tr>
        <w:trPr>
          <w:trHeight w:hRule="atLeast" w:val="737"/>
        </w:trPr>
        <w:tc>
          <w:tcPr>
            <w:tcW w:w="5735" w:type="dxa"/>
            <w:gridSpan w:val="3"/>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00"/>
              <w:jc w:val="center"/>
              <w:rPr>
                <w:rStyle w:val="C3"/>
                <w:rFonts w:ascii="黑体" w:hAnsi="黑体"/>
                <w:sz w:val="22"/>
              </w:rPr>
            </w:pPr>
            <w:r>
              <w:rPr>
                <w:rStyle w:val="C3"/>
                <w:rFonts w:ascii="黑体" w:hAnsi="黑体"/>
                <w:sz w:val="28"/>
              </w:rPr>
              <w:t xml:space="preserve">税  目</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00"/>
              <w:jc w:val="center"/>
              <w:rPr>
                <w:rStyle w:val="C3"/>
                <w:rFonts w:ascii="黑体" w:hAnsi="黑体"/>
                <w:sz w:val="28"/>
              </w:rPr>
            </w:pPr>
            <w:r>
              <w:rPr>
                <w:rStyle w:val="C3"/>
                <w:rFonts w:ascii="黑体" w:hAnsi="黑体"/>
                <w:sz w:val="28"/>
              </w:rPr>
              <w:t>征税对象</w:t>
            </w:r>
          </w:p>
          <w:p>
            <w:pPr>
              <w:pStyle w:val="P4"/>
              <w:widowControl w:val="0"/>
              <w:spacing w:lineRule="exact" w:line="300"/>
              <w:jc w:val="center"/>
              <w:rPr>
                <w:rStyle w:val="C3"/>
                <w:rFonts w:ascii="黑体" w:hAnsi="黑体"/>
                <w:sz w:val="22"/>
              </w:rPr>
            </w:pPr>
            <w:r>
              <w:rPr>
                <w:rStyle w:val="C3"/>
                <w:rFonts w:ascii="黑体" w:hAnsi="黑体"/>
                <w:sz w:val="24"/>
              </w:rPr>
              <w:t>（原矿或者选矿）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00"/>
              <w:jc w:val="center"/>
              <w:rPr>
                <w:rStyle w:val="C3"/>
                <w:rFonts w:ascii="黑体" w:hAnsi="黑体"/>
                <w:sz w:val="22"/>
              </w:rPr>
            </w:pPr>
            <w:r>
              <w:rPr>
                <w:rStyle w:val="C3"/>
                <w:rFonts w:ascii="黑体" w:hAnsi="黑体"/>
                <w:sz w:val="28"/>
              </w:rPr>
              <w:t>税率</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sz w:val="28"/>
              </w:rPr>
              <w:t>能源矿产</w:t>
            </w:r>
          </w:p>
        </w:tc>
        <w:tc>
          <w:tcPr>
            <w:tcW w:w="4322" w:type="dxa"/>
            <w:gridSpan w:val="2"/>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煤</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3.0%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4322" w:type="dxa"/>
            <w:gridSpan w:val="2"/>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2.6%</w:t>
            </w:r>
          </w:p>
        </w:tc>
      </w:tr>
      <w:tr>
        <w:trPr>
          <w:trHeight w:hRule="atLeast" w:val="397"/>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4322" w:type="dxa"/>
            <w:gridSpan w:val="2"/>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地热</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每立方米</w:t>
            </w:r>
            <w:r>
              <w:rPr>
                <w:rStyle w:val="C3"/>
                <w:rFonts w:ascii="仿宋_GB2312" w:hAnsi="仿宋_GB2312"/>
              </w:rPr>
              <w:t>1</w:t>
            </w:r>
            <w:r>
              <w:rPr>
                <w:rStyle w:val="C3"/>
                <w:rFonts w:ascii="Microsoft YaHei UI" w:hAnsi="Microsoft YaHei UI"/>
              </w:rPr>
              <w:t>元</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sz w:val="28"/>
              </w:rPr>
              <w:t>金属矿产</w:t>
            </w: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黑色金属</w:t>
            </w: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铁</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5.7%</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4.0%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铬、锰、钛</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4.5%</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3.0%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有色金属</w:t>
            </w: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铜</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7.0%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5.0%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铅、锌</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5.9%</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4.0%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锡</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6.3%</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5.0%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镍、锑、镁、钴、铋、汞</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5.0%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4.0%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金</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6.0%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5.0%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银</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6.0%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4.8%</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铂</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6.0%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5.0%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锂</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6.3%</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5.0%</w:t>
            </w:r>
          </w:p>
        </w:tc>
      </w:tr>
      <w:tr>
        <w:trPr>
          <w:trHeight w:hRule="atLeast" w:val="369"/>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铍、锆、锶、铷、铯、锗、镓、铊、铼</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5.0%</w:t>
            </w:r>
          </w:p>
        </w:tc>
      </w:tr>
      <w:tr>
        <w:trPr>
          <w:trHeight w:hRule="atLeast" w:val="369"/>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4.0%</w:t>
            </w:r>
          </w:p>
        </w:tc>
      </w:tr>
      <w:tr>
        <w:trPr>
          <w:trHeight w:hRule="atLeast" w:val="369"/>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8"/>
              </w:rPr>
            </w:pPr>
          </w:p>
          <w:p>
            <w:pPr>
              <w:pStyle w:val="P4"/>
              <w:widowControl w:val="0"/>
              <w:spacing w:lineRule="exact" w:line="396"/>
              <w:jc w:val="center"/>
              <w:rPr>
                <w:rStyle w:val="C3"/>
                <w:rFonts w:ascii="仿宋_GB2312" w:hAnsi="仿宋_GB2312"/>
                <w:sz w:val="28"/>
              </w:rPr>
            </w:pPr>
            <w:r>
              <w:rPr>
                <w:rStyle w:val="C3"/>
                <w:rFonts w:ascii="Microsoft YaHei UI" w:hAnsi="Microsoft YaHei UI"/>
                <w:sz w:val="28"/>
              </w:rPr>
              <w:t>非金属</w:t>
            </w:r>
          </w:p>
          <w:p>
            <w:pPr>
              <w:pStyle w:val="P4"/>
              <w:widowControl w:val="0"/>
              <w:spacing w:lineRule="exact" w:line="396"/>
              <w:jc w:val="center"/>
              <w:rPr>
                <w:rStyle w:val="C3"/>
                <w:rFonts w:ascii="仿宋_GB2312" w:hAnsi="仿宋_GB2312"/>
                <w:sz w:val="22"/>
              </w:rPr>
            </w:pPr>
            <w:r>
              <w:rPr>
                <w:rStyle w:val="C3"/>
                <w:rFonts w:ascii="Microsoft YaHei UI" w:hAnsi="Microsoft YaHei UI"/>
                <w:sz w:val="28"/>
              </w:rPr>
              <w:t>矿</w:t>
            </w:r>
            <w:r>
              <w:rPr>
                <w:rStyle w:val="C3"/>
                <w:rFonts w:ascii="仿宋_GB2312" w:hAnsi="仿宋_GB2312"/>
                <w:sz w:val="28"/>
              </w:rPr>
              <w:t xml:space="preserve">  </w:t>
            </w:r>
            <w:r>
              <w:rPr>
                <w:rStyle w:val="C3"/>
                <w:rFonts w:ascii="Microsoft YaHei UI" w:hAnsi="Microsoft YaHei UI"/>
                <w:sz w:val="28"/>
              </w:rPr>
              <w:t>产</w:t>
            </w: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rPr>
            </w:pPr>
          </w:p>
          <w:p>
            <w:pPr>
              <w:pStyle w:val="P4"/>
              <w:widowControl w:val="0"/>
              <w:spacing w:lineRule="exact" w:line="396"/>
              <w:jc w:val="center"/>
              <w:rPr>
                <w:rStyle w:val="C3"/>
                <w:rFonts w:ascii="仿宋_GB2312" w:hAnsi="仿宋_GB2312"/>
                <w:sz w:val="22"/>
              </w:rPr>
            </w:pPr>
            <w:r>
              <w:rPr>
                <w:rStyle w:val="C3"/>
                <w:rFonts w:ascii="Microsoft YaHei UI" w:hAnsi="Microsoft YaHei UI"/>
              </w:rPr>
              <w:t>矿物类</w:t>
            </w: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高岭土</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3.0%</w:t>
            </w:r>
          </w:p>
        </w:tc>
      </w:tr>
      <w:tr>
        <w:trPr>
          <w:trHeight w:hRule="atLeast" w:val="369"/>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3.0%</w:t>
            </w:r>
          </w:p>
        </w:tc>
      </w:tr>
      <w:tr>
        <w:trPr>
          <w:trHeight w:hRule="atLeast" w:val="397"/>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石灰岩</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5.0%</w:t>
            </w:r>
          </w:p>
        </w:tc>
      </w:tr>
      <w:tr>
        <w:trPr>
          <w:trHeight w:hRule="atLeast" w:val="397"/>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5.0%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磷</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3.0%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3.0%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石墨</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3.0%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3.0%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萤石</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3.0%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3.0%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硫铁矿、自然硫</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5.0%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5.0%</w:t>
            </w:r>
          </w:p>
        </w:tc>
      </w:tr>
      <w:tr>
        <w:trPr>
          <w:trHeight w:hRule="atLeast" w:val="454"/>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00"/>
              <w:rPr>
                <w:rStyle w:val="C3"/>
                <w:rFonts w:ascii="仿宋_GB2312" w:hAnsi="仿宋_GB2312"/>
                <w:sz w:val="22"/>
              </w:rPr>
            </w:pPr>
            <w:r>
              <w:rPr>
                <w:rStyle w:val="C3"/>
                <w:rFonts w:ascii="Microsoft YaHei UI" w:hAnsi="Microsoft YaHei UI"/>
              </w:rPr>
              <w:t>脉石英、工业用金刚石、冰洲石、蓝晶石、滑石、天然碱、芒硝、溴、硅藻土</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3.0%</w:t>
            </w:r>
          </w:p>
        </w:tc>
      </w:tr>
      <w:tr>
        <w:trPr>
          <w:trHeight w:hRule="atLeast" w:val="454"/>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3.0%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r>
              <w:rPr>
                <w:rStyle w:val="C3"/>
                <w:rFonts w:ascii="Microsoft YaHei UI" w:hAnsi="Microsoft YaHei UI"/>
              </w:rPr>
              <w:t>水晶、刚玉、明矾石、砷、硼、陶瓷土</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5.0%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5.0%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菱镁矿</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5.0%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4.0%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耐火粘土、凹凸棒石粘土、海泡石粘土、伊利石粘土、累托石粘土</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1.5%</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1.5%</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叶腊石、重晶石、工业用电气石、白垩、石棉、红柱石、石榴子石</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3.0%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3.0%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云母</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5.0%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5.0%</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石膏</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4.5%</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jc w:val="center"/>
              <w:rPr>
                <w:rStyle w:val="C3"/>
                <w:rFonts w:ascii="仿宋_GB2312" w:hAnsi="仿宋_GB2312"/>
                <w:sz w:val="22"/>
              </w:rPr>
            </w:pPr>
            <w:r>
              <w:rPr>
                <w:rStyle w:val="C3"/>
                <w:rFonts w:ascii="仿宋_GB2312" w:hAnsi="仿宋_GB2312"/>
              </w:rPr>
              <w:t>4.5%</w:t>
            </w:r>
          </w:p>
        </w:tc>
      </w:tr>
      <w:tr>
        <w:trPr>
          <w:trHeight w:hRule="atLeast" w:val="851"/>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80"/>
              <w:rPr>
                <w:rStyle w:val="C3"/>
                <w:rFonts w:ascii="仿宋_GB2312" w:hAnsi="仿宋_GB2312"/>
                <w:sz w:val="22"/>
              </w:rPr>
            </w:pPr>
            <w:r>
              <w:rPr>
                <w:rStyle w:val="C3"/>
                <w:rFonts w:ascii="Microsoft YaHei UI" w:hAnsi="Microsoft YaHei UI"/>
              </w:rPr>
              <w:t>其他粘土（铸型用粘土、砖瓦用粘土、陶粒用粘土、水泥配料用粘土、水泥配料用红土、水泥配料用黄土、水泥配料用泥岩、保温材料用粘土）</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8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80"/>
              <w:jc w:val="center"/>
              <w:rPr>
                <w:rStyle w:val="C3"/>
                <w:rFonts w:ascii="仿宋_GB2312" w:hAnsi="仿宋_GB2312"/>
                <w:sz w:val="22"/>
              </w:rPr>
            </w:pPr>
            <w:r>
              <w:rPr>
                <w:rStyle w:val="C3"/>
                <w:rFonts w:ascii="Microsoft YaHei UI" w:hAnsi="Microsoft YaHei UI"/>
              </w:rPr>
              <w:t>每立方米</w:t>
            </w:r>
            <w:r>
              <w:rPr>
                <w:rStyle w:val="C3"/>
                <w:rFonts w:ascii="仿宋_GB2312" w:hAnsi="仿宋_GB2312"/>
              </w:rPr>
              <w:t>1.5</w:t>
            </w:r>
            <w:r>
              <w:rPr>
                <w:rStyle w:val="C3"/>
                <w:rFonts w:ascii="Microsoft YaHei UI" w:hAnsi="Microsoft YaHei UI"/>
              </w:rPr>
              <w:t>元</w:t>
            </w:r>
          </w:p>
        </w:tc>
      </w:tr>
      <w:tr>
        <w:trPr>
          <w:trHeight w:hRule="atLeast" w:val="851"/>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96"/>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8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8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380"/>
              <w:jc w:val="center"/>
              <w:rPr>
                <w:rStyle w:val="C3"/>
                <w:rFonts w:ascii="仿宋_GB2312" w:hAnsi="仿宋_GB2312"/>
                <w:sz w:val="22"/>
              </w:rPr>
            </w:pPr>
            <w:r>
              <w:rPr>
                <w:rStyle w:val="C3"/>
                <w:rFonts w:ascii="Microsoft YaHei UI" w:hAnsi="Microsoft YaHei UI"/>
              </w:rPr>
              <w:t>每立方米</w:t>
            </w:r>
            <w:r>
              <w:rPr>
                <w:rStyle w:val="C3"/>
                <w:rFonts w:ascii="仿宋_GB2312" w:hAnsi="仿宋_GB2312"/>
              </w:rPr>
              <w:t>1.5</w:t>
            </w:r>
            <w:r>
              <w:rPr>
                <w:rStyle w:val="C3"/>
                <w:rFonts w:ascii="Microsoft YaHei UI" w:hAnsi="Microsoft YaHei UI"/>
              </w:rPr>
              <w:t>元</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1" w:space="0" w:shadow="0" w:frame="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岩石类</w:t>
            </w:r>
          </w:p>
        </w:tc>
        <w:tc>
          <w:tcPr>
            <w:tcW w:w="3128" w:type="dxa"/>
            <w:tcBorders>
              <w:top w:val="single" w:sz="1" w:space="0" w:shadow="0" w:frame="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大理岩、火山灰、泥炭</w:t>
            </w:r>
          </w:p>
        </w:tc>
        <w:tc>
          <w:tcPr>
            <w:tcW w:w="2489" w:type="dxa"/>
            <w:tcBorders>
              <w:top w:val="single" w:sz="1" w:space="0" w:shadow="0" w:frame="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1" w:space="0" w:shadow="0" w:frame="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5.0%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5.0%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r>
              <w:rPr>
                <w:rStyle w:val="C3"/>
                <w:rFonts w:ascii="Microsoft YaHei UI" w:hAnsi="Microsoft YaHei UI"/>
              </w:rPr>
              <w:t>花岗岩、白云岩、石英岩、页岩、蛇纹岩、橄榄岩</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3.0%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3.0%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砂石</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2.0%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2.0%</w:t>
            </w:r>
          </w:p>
        </w:tc>
      </w:tr>
      <w:tr>
        <w:trPr>
          <w:trHeight w:hRule="atLeast" w:val="284"/>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宝玉石类</w:t>
            </w: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宝石、玉石、宝石级金刚石、玛瑙</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7.0%</w:t>
            </w:r>
          </w:p>
        </w:tc>
      </w:tr>
      <w:tr>
        <w:trPr>
          <w:trHeight w:hRule="atLeast" w:val="284"/>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1194"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3128"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rPr>
                <w:rStyle w:val="C3"/>
                <w:rFonts w:ascii="仿宋_GB2312" w:hAnsi="仿宋_GB2312"/>
                <w:sz w:val="22"/>
              </w:rPr>
            </w:pP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400"/>
              <w:jc w:val="center"/>
              <w:rPr>
                <w:rStyle w:val="C3"/>
                <w:rFonts w:ascii="仿宋_GB2312" w:hAnsi="仿宋_GB2312"/>
                <w:sz w:val="22"/>
              </w:rPr>
            </w:pPr>
            <w:r>
              <w:rPr>
                <w:rStyle w:val="C3"/>
                <w:rFonts w:ascii="仿宋_GB2312" w:hAnsi="仿宋_GB2312"/>
              </w:rPr>
              <w:t>5.6%</w:t>
            </w:r>
          </w:p>
        </w:tc>
      </w:tr>
      <w:tr>
        <w:trPr>
          <w:trHeight w:hRule="atLeast" w:val="312"/>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500"/>
              <w:jc w:val="center"/>
              <w:rPr>
                <w:rStyle w:val="C3"/>
                <w:rFonts w:ascii="仿宋_GB2312" w:hAnsi="仿宋_GB2312"/>
                <w:sz w:val="28"/>
              </w:rPr>
            </w:pPr>
            <w:r>
              <w:rPr>
                <w:rStyle w:val="C3"/>
                <w:rFonts w:ascii="Microsoft YaHei UI" w:hAnsi="Microsoft YaHei UI"/>
                <w:sz w:val="28"/>
              </w:rPr>
              <w:t>水气矿产</w:t>
            </w:r>
          </w:p>
          <w:p>
            <w:pPr>
              <w:pStyle w:val="P4"/>
              <w:widowControl w:val="0"/>
              <w:spacing w:lineRule="exact" w:line="500"/>
              <w:jc w:val="center"/>
              <w:rPr>
                <w:rStyle w:val="C3"/>
                <w:rFonts w:ascii="仿宋_GB2312" w:hAnsi="仿宋_GB2312"/>
                <w:sz w:val="22"/>
              </w:rPr>
            </w:pPr>
            <w:r>
              <w:rPr>
                <w:rStyle w:val="C3"/>
                <w:rFonts w:ascii="Microsoft YaHei UI" w:hAnsi="Microsoft YaHei UI"/>
                <w:sz w:val="28"/>
              </w:rPr>
              <w:t>矿产</w:t>
            </w:r>
          </w:p>
        </w:tc>
        <w:tc>
          <w:tcPr>
            <w:tcW w:w="4322" w:type="dxa"/>
            <w:gridSpan w:val="2"/>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500"/>
              <w:jc w:val="center"/>
              <w:rPr>
                <w:rStyle w:val="C3"/>
                <w:rFonts w:ascii="仿宋_GB2312" w:hAnsi="仿宋_GB2312"/>
                <w:sz w:val="22"/>
              </w:rPr>
            </w:pPr>
            <w:r>
              <w:rPr>
                <w:rStyle w:val="C3"/>
                <w:rFonts w:ascii="Microsoft YaHei UI" w:hAnsi="Microsoft YaHei UI"/>
              </w:rPr>
              <w:t>矿泉水</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5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500"/>
              <w:jc w:val="center"/>
              <w:rPr>
                <w:rStyle w:val="C3"/>
                <w:rFonts w:ascii="仿宋_GB2312" w:hAnsi="仿宋_GB2312"/>
                <w:sz w:val="22"/>
              </w:rPr>
            </w:pPr>
            <w:r>
              <w:rPr>
                <w:rStyle w:val="C3"/>
                <w:rFonts w:ascii="仿宋_GB2312" w:hAnsi="仿宋_GB2312"/>
              </w:rPr>
              <w:t>2.0%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500"/>
              <w:jc w:val="center"/>
              <w:rPr>
                <w:rStyle w:val="C3"/>
                <w:rFonts w:ascii="仿宋_GB2312" w:hAnsi="仿宋_GB2312"/>
                <w:sz w:val="22"/>
              </w:rPr>
            </w:pPr>
            <w:r>
              <w:rPr>
                <w:rStyle w:val="C3"/>
                <w:rFonts w:ascii="Microsoft YaHei UI" w:hAnsi="Microsoft YaHei UI"/>
                <w:sz w:val="28"/>
              </w:rPr>
              <w:t>盐</w:t>
            </w:r>
          </w:p>
        </w:tc>
        <w:tc>
          <w:tcPr>
            <w:tcW w:w="4322" w:type="dxa"/>
            <w:gridSpan w:val="2"/>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500"/>
              <w:jc w:val="center"/>
              <w:rPr>
                <w:rStyle w:val="C3"/>
                <w:rFonts w:ascii="仿宋_GB2312" w:hAnsi="仿宋_GB2312"/>
                <w:sz w:val="22"/>
              </w:rPr>
            </w:pPr>
            <w:r>
              <w:rPr>
                <w:rStyle w:val="C3"/>
                <w:rFonts w:ascii="Microsoft YaHei UI" w:hAnsi="Microsoft YaHei UI"/>
              </w:rPr>
              <w:t>钠盐、钾盐、镁盐、锂盐</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500"/>
              <w:jc w:val="center"/>
              <w:rPr>
                <w:rStyle w:val="C3"/>
                <w:rFonts w:ascii="仿宋_GB2312" w:hAnsi="仿宋_GB2312"/>
                <w:sz w:val="22"/>
              </w:rPr>
            </w:pPr>
            <w:r>
              <w:rPr>
                <w:rStyle w:val="C3"/>
                <w:rFonts w:ascii="Microsoft YaHei UI" w:hAnsi="Microsoft YaHei UI"/>
              </w:rPr>
              <w:t>选矿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500"/>
              <w:jc w:val="center"/>
              <w:rPr>
                <w:rStyle w:val="C3"/>
                <w:rFonts w:ascii="仿宋_GB2312" w:hAnsi="仿宋_GB2312"/>
                <w:sz w:val="22"/>
              </w:rPr>
            </w:pPr>
            <w:r>
              <w:rPr>
                <w:rStyle w:val="C3"/>
                <w:rFonts w:ascii="仿宋_GB2312" w:hAnsi="仿宋_GB2312"/>
              </w:rPr>
              <w:t>3.0%</w:t>
            </w:r>
          </w:p>
        </w:tc>
      </w:tr>
      <w:tr>
        <w:trPr>
          <w:trHeight w:hRule="atLeast" w:val="340"/>
        </w:trPr>
        <w:tc>
          <w:tcPr>
            <w:tcW w:w="1413"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500"/>
              <w:rPr>
                <w:rStyle w:val="C3"/>
                <w:rFonts w:ascii="仿宋_GB2312" w:hAnsi="仿宋_GB2312"/>
                <w:sz w:val="22"/>
              </w:rPr>
            </w:pPr>
          </w:p>
        </w:tc>
        <w:tc>
          <w:tcPr>
            <w:tcW w:w="4322" w:type="dxa"/>
            <w:gridSpan w:val="2"/>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500"/>
              <w:jc w:val="center"/>
              <w:rPr>
                <w:rStyle w:val="C3"/>
                <w:rFonts w:ascii="仿宋_GB2312" w:hAnsi="仿宋_GB2312"/>
                <w:sz w:val="22"/>
              </w:rPr>
            </w:pPr>
            <w:r>
              <w:rPr>
                <w:rStyle w:val="C3"/>
                <w:rFonts w:ascii="Microsoft YaHei UI" w:hAnsi="Microsoft YaHei UI"/>
              </w:rPr>
              <w:t>天然卤水</w:t>
            </w:r>
          </w:p>
        </w:tc>
        <w:tc>
          <w:tcPr>
            <w:tcW w:w="2489"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500"/>
              <w:jc w:val="center"/>
              <w:rPr>
                <w:rStyle w:val="C3"/>
                <w:rFonts w:ascii="仿宋_GB2312" w:hAnsi="仿宋_GB2312"/>
                <w:sz w:val="22"/>
              </w:rPr>
            </w:pPr>
            <w:r>
              <w:rPr>
                <w:rStyle w:val="C3"/>
                <w:rFonts w:ascii="Microsoft YaHei UI" w:hAnsi="Microsoft YaHei UI"/>
              </w:rPr>
              <w:t>原矿</w:t>
            </w:r>
          </w:p>
        </w:tc>
        <w:tc>
          <w:tcPr>
            <w:tcW w:w="1912" w:type="dxa"/>
            <w:tcBorders>
              <w:top w:val="single" w:sz="0" w:space="0" w:shadow="0" w:frame="0" w:color="000000"/>
              <w:left w:val="single" w:sz="0" w:space="0" w:shadow="0" w:frame="0" w:color="000000"/>
              <w:bottom w:val="single" w:sz="0" w:space="0" w:shadow="0" w:frame="0" w:color="000000"/>
              <w:right w:val="single" w:sz="0" w:space="0" w:shadow="0" w:frame="0" w:color="000000"/>
            </w:tcBorders>
            <w:shd w:val="clear" w:color="000000" w:fill="FFFFFF"/>
          </w:tcPr>
          <w:p>
            <w:pPr>
              <w:pStyle w:val="P4"/>
              <w:widowControl w:val="0"/>
              <w:spacing w:lineRule="exact" w:line="500"/>
              <w:jc w:val="center"/>
              <w:rPr>
                <w:rStyle w:val="C3"/>
                <w:rFonts w:ascii="仿宋_GB2312" w:hAnsi="仿宋_GB2312"/>
                <w:sz w:val="22"/>
              </w:rPr>
            </w:pPr>
            <w:r>
              <w:rPr>
                <w:rStyle w:val="C3"/>
                <w:rFonts w:ascii="仿宋_GB2312" w:hAnsi="仿宋_GB2312"/>
              </w:rPr>
              <w:t>3.0%</w:t>
            </w:r>
          </w:p>
        </w:tc>
      </w:tr>
    </w:tbl>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3"/>
    <w:pPr>
      <w:widowControl w:val="0"/>
      <w:jc w:val="both"/>
    </w:pPr>
    <w:rPr>
      <w:sz w:val="21"/>
    </w:rPr>
  </w:style>
  <w:style w:type="paragraph" w:styleId="P4">
    <w:name w:val="Normal New New New New New New New New New New New New New New New New New New New New New New New New New New New New New New New New"/>
    <w:next w:val="P4"/>
    <w:pPr>
      <w:jc w:val="both"/>
    </w:pPr>
    <w:rPr>
      <w:sz w:val="21"/>
    </w:rPr>
  </w:style>
  <w:style w:type="paragraph" w:styleId="P5">
    <w:name w:val="Normal New New"/>
    <w:next w:val="P5"/>
    <w:pPr>
      <w:jc w:val="both"/>
    </w:pPr>
    <w:rPr>
      <w:sz w:val="21"/>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8">
    <w:name w:val="页脚 New"/>
    <w:basedOn w:val="P2"/>
    <w:next w:val="P8"/>
    <w:pPr>
      <w:tabs>
        <w:tab w:val="center" w:pos="4153" w:leader="none"/>
        <w:tab w:val="right" w:pos="8306" w:leader="none"/>
      </w:tabs>
      <w:jc w:val="left"/>
    </w:pPr>
    <w:rPr>
      <w:sz w:val="18"/>
    </w:rPr>
  </w:style>
  <w:style w:type="paragraph" w:styleId="P9">
    <w:name w:val="p15"/>
    <w:basedOn w:val="P3"/>
    <w:next w:val="P9"/>
    <w:pPr>
      <w:widowControl w:val="1"/>
    </w:pPr>
    <w:rPr>
      <w:rFonts w:ascii="方正仿宋简体" w:hAnsi="方正仿宋简体"/>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2020-08-05T07:51:00Z</dcterms:created>
  <cp:lastModifiedBy>f1TZOF\f1TZOF-</cp:lastModifiedBy>
  <dcterms:modified xsi:type="dcterms:W3CDTF">2024-08-28T01:34:37Z</dcterms:modified>
  <cp:revision>2</cp:revision>
  <dc:title>西藏自治区人民代表大会常务委员会关于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