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02852A" Type="http://schemas.openxmlformats.org/officeDocument/2006/relationships/officeDocument" Target="/word/document.xml" /><Relationship Id="coreR5402852A" Type="http://schemas.openxmlformats.org/package/2006/relationships/metadata/core-properties" Target="/docProps/core.xml" /><Relationship Id="customR540285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88" w:before="156" w:after="156"/>
        <w:jc w:val="both"/>
        <w:rPr>
          <w:rStyle w:val="C3"/>
          <w:rFonts w:ascii="宋体" w:hAnsi="宋体"/>
          <w:b w:val="1"/>
          <w:color w:val="000000"/>
          <w:sz w:val="32"/>
        </w:rPr>
      </w:pPr>
    </w:p>
    <w:p>
      <w:pPr>
        <w:pStyle w:val="P1"/>
        <w:spacing w:lineRule="auto" w:line="288" w:before="156" w:after="156"/>
        <w:jc w:val="center"/>
        <w:rPr>
          <w:rStyle w:val="C3"/>
          <w:rFonts w:ascii="宋体" w:hAnsi="宋体"/>
          <w:b w:val="0"/>
          <w:color w:val="000000"/>
          <w:sz w:val="44"/>
        </w:rPr>
      </w:pPr>
      <w:r>
        <w:rPr>
          <w:rStyle w:val="C3"/>
          <w:rFonts w:ascii="宋体" w:hAnsi="宋体"/>
          <w:b w:val="0"/>
          <w:color w:val="000000"/>
          <w:sz w:val="44"/>
        </w:rPr>
        <w:t>忻州市滹沱河流域生态修复与保护条例</w:t>
      </w:r>
    </w:p>
    <w:p>
      <w:pPr>
        <w:pStyle w:val="P1"/>
        <w:jc w:val="center"/>
        <w:rPr>
          <w:rStyle w:val="C3"/>
          <w:rFonts w:ascii="楷体" w:hAnsi="楷体"/>
          <w:color w:val="000000"/>
          <w:sz w:val="32"/>
        </w:rPr>
      </w:pPr>
    </w:p>
    <w:p>
      <w:pPr>
        <w:pStyle w:val="P1"/>
        <w:ind w:firstLine="632"/>
        <w:jc w:val="both"/>
        <w:rPr>
          <w:rStyle w:val="C3"/>
          <w:rFonts w:ascii="楷体" w:hAnsi="楷体"/>
          <w:color w:val="000000"/>
          <w:sz w:val="32"/>
        </w:rPr>
      </w:pPr>
      <w:r>
        <w:rPr>
          <w:rStyle w:val="C3"/>
          <w:rFonts w:ascii="楷体" w:hAnsi="楷体"/>
          <w:color w:val="000000"/>
          <w:sz w:val="32"/>
        </w:rPr>
        <w:t>（2018年12月27日忻州市第四届人民代表大会常务</w:t>
      </w:r>
    </w:p>
    <w:p>
      <w:pPr>
        <w:pStyle w:val="P1"/>
        <w:ind w:firstLine="632"/>
        <w:jc w:val="both"/>
        <w:rPr>
          <w:rStyle w:val="C3"/>
          <w:rFonts w:ascii="楷体" w:hAnsi="楷体"/>
          <w:color w:val="000000"/>
          <w:sz w:val="32"/>
        </w:rPr>
      </w:pPr>
      <w:r>
        <w:rPr>
          <w:rStyle w:val="C3"/>
          <w:rFonts w:ascii="楷体" w:hAnsi="楷体"/>
          <w:color w:val="000000"/>
          <w:sz w:val="32"/>
        </w:rPr>
        <w:t>委员会第十六次会议通过 山西省第十三届人民代表</w:t>
      </w:r>
    </w:p>
    <w:p>
      <w:pPr>
        <w:pStyle w:val="P1"/>
        <w:ind w:firstLine="632"/>
        <w:jc w:val="both"/>
        <w:rPr>
          <w:rStyle w:val="C3"/>
          <w:rFonts w:ascii="楷体" w:hAnsi="楷体"/>
          <w:color w:val="000000"/>
          <w:sz w:val="32"/>
        </w:rPr>
      </w:pPr>
      <w:r>
        <w:rPr>
          <w:rStyle w:val="C3"/>
          <w:rFonts w:ascii="楷体" w:hAnsi="楷体"/>
          <w:color w:val="000000"/>
          <w:sz w:val="32"/>
        </w:rPr>
        <w:t>大会常务委员会第九次会议于2019年3月22日批准）</w:t>
      </w:r>
    </w:p>
    <w:p>
      <w:pPr>
        <w:pStyle w:val="P2"/>
        <w:numPr>
          <w:ilvl w:val="1"/>
          <w:numId w:val="1"/>
        </w:numPr>
        <w:tabs>
          <w:tab w:val="left" w:pos="2312" w:leader="none"/>
        </w:tabs>
        <w:spacing w:before="579" w:after="579"/>
        <w:rPr>
          <w:rStyle w:val="C3"/>
          <w:sz w:val="32"/>
        </w:rPr>
      </w:pPr>
      <w:r>
        <w:rPr>
          <w:rStyle w:val="C3"/>
          <w:rFonts w:ascii="Microsoft YaHei UI" w:hAnsi="Microsoft YaHei UI"/>
          <w:sz w:val="32"/>
        </w:rPr>
        <w:t>总</w:t>
      </w:r>
      <w:r>
        <w:rPr>
          <w:rStyle w:val="C3"/>
          <w:sz w:val="32"/>
        </w:rPr>
        <w:t xml:space="preserve"> </w:t>
      </w:r>
      <w:r>
        <w:rPr>
          <w:rStyle w:val="C3"/>
          <w:rFonts w:ascii="Microsoft YaHei UI" w:hAnsi="Microsoft YaHei UI"/>
          <w:sz w:val="32"/>
        </w:rPr>
        <w:t>则</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 xml:space="preserve">为了加强滹沱河流域生态修复与保护，改善流域生态环境，规范滹沱河流域开发、利用、治理等活动，促进经济社会可持续发展，根据有关法律、法规，结合本市滹沱河流域实际，制定本条例。 </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本条例所称滹沱河流域（以下简称流域），是指位于忻州市境内的滹沱河河流源头、干流及其支流汇水面积内的水域和陆域，以及出露带在流域范围内的岩溶泉域。</w:t>
      </w:r>
    </w:p>
    <w:p>
      <w:pPr>
        <w:pStyle w:val="P1"/>
        <w:ind w:firstLine="632"/>
        <w:rPr>
          <w:rStyle w:val="C3"/>
          <w:rFonts w:ascii="仿宋" w:hAnsi="仿宋"/>
          <w:color w:val="000000"/>
          <w:sz w:val="32"/>
        </w:rPr>
      </w:pPr>
      <w:r>
        <w:rPr>
          <w:rStyle w:val="C3"/>
          <w:rFonts w:ascii="仿宋" w:hAnsi="仿宋"/>
          <w:color w:val="000000"/>
          <w:sz w:val="32"/>
        </w:rPr>
        <w:t>本条例适用于流域内生产生活、开发建设、生态修复与保护、投融资保障、监督管理等活动。</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流域内的生态修复与保护坚持政府主导、社会参与、统一规划、保护优先、科学修复、综合治理的原则。</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市、县（市、区）人民政府应当将流域生态修复与保护工作纳入国民经济和社会发展规划；加强流域生态修复与保护，实施山水林田湖草和河流源头综合治理，保障流域经济社会发展与生态环境相适应。</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市人民政府全面负责流域生态修复与保护工作，统筹协调和研究解决流域生态修复与保护的重大事项。</w:t>
      </w:r>
    </w:p>
    <w:p>
      <w:pPr>
        <w:pStyle w:val="P1"/>
        <w:ind w:firstLine="632"/>
        <w:rPr>
          <w:rStyle w:val="C3"/>
          <w:rFonts w:ascii="仿宋" w:hAnsi="仿宋"/>
          <w:color w:val="000000"/>
          <w:sz w:val="32"/>
        </w:rPr>
      </w:pPr>
      <w:r>
        <w:rPr>
          <w:rStyle w:val="C3"/>
          <w:rFonts w:ascii="仿宋" w:hAnsi="仿宋"/>
          <w:color w:val="000000"/>
          <w:sz w:val="32"/>
        </w:rPr>
        <w:t>市人民政府在流域生态修复与保护工作中主要履行下列职责:</w:t>
      </w:r>
    </w:p>
    <w:p>
      <w:pPr>
        <w:pStyle w:val="P1"/>
        <w:ind w:firstLine="632"/>
        <w:jc w:val="left"/>
        <w:rPr>
          <w:rStyle w:val="C3"/>
          <w:rFonts w:ascii="仿宋" w:hAnsi="仿宋"/>
          <w:color w:val="000000"/>
          <w:sz w:val="32"/>
        </w:rPr>
      </w:pPr>
      <w:r>
        <w:rPr>
          <w:rStyle w:val="C3"/>
          <w:rFonts w:ascii="仿宋" w:hAnsi="仿宋"/>
          <w:color w:val="000000"/>
          <w:sz w:val="32"/>
        </w:rPr>
        <w:t>（一）组织流域生态修复与保护综合规划的编制；</w:t>
      </w:r>
    </w:p>
    <w:p>
      <w:pPr>
        <w:pStyle w:val="P1"/>
        <w:ind w:firstLine="632"/>
        <w:jc w:val="left"/>
        <w:rPr>
          <w:rStyle w:val="C3"/>
          <w:rFonts w:ascii="仿宋" w:hAnsi="仿宋"/>
          <w:color w:val="000000"/>
          <w:sz w:val="32"/>
        </w:rPr>
      </w:pPr>
      <w:r>
        <w:rPr>
          <w:rStyle w:val="C3"/>
          <w:rFonts w:ascii="仿宋" w:hAnsi="仿宋"/>
          <w:color w:val="000000"/>
          <w:sz w:val="32"/>
        </w:rPr>
        <w:t>（二）审查流域生态修复与保护专项规划和实施方案；</w:t>
      </w:r>
    </w:p>
    <w:p>
      <w:pPr>
        <w:pStyle w:val="P1"/>
        <w:jc w:val="left"/>
        <w:rPr>
          <w:rStyle w:val="C3"/>
          <w:rFonts w:ascii="仿宋" w:hAnsi="仿宋"/>
          <w:color w:val="000000"/>
          <w:sz w:val="32"/>
        </w:rPr>
      </w:pPr>
      <w:r>
        <w:rPr>
          <w:rStyle w:val="C3"/>
          <w:rFonts w:ascii="仿宋" w:hAnsi="仿宋"/>
          <w:color w:val="000000"/>
          <w:sz w:val="32"/>
        </w:rPr>
        <w:t xml:space="preserve">    （三）制定流域生态修复与保护各项经济和行政措施；</w:t>
      </w:r>
    </w:p>
    <w:p>
      <w:pPr>
        <w:pStyle w:val="P1"/>
        <w:ind w:firstLine="640"/>
        <w:jc w:val="left"/>
        <w:rPr>
          <w:rStyle w:val="C3"/>
          <w:rFonts w:ascii="仿宋" w:hAnsi="仿宋"/>
          <w:color w:val="000000"/>
          <w:sz w:val="32"/>
        </w:rPr>
      </w:pPr>
      <w:r>
        <w:rPr>
          <w:rStyle w:val="C3"/>
          <w:rFonts w:ascii="仿宋" w:hAnsi="仿宋"/>
          <w:color w:val="000000"/>
          <w:sz w:val="32"/>
        </w:rPr>
        <w:t>（四）制定流域山水林田湖草生态保护修复实施方案；</w:t>
      </w:r>
    </w:p>
    <w:p>
      <w:pPr>
        <w:pStyle w:val="P1"/>
        <w:ind w:firstLine="640"/>
        <w:jc w:val="left"/>
        <w:rPr>
          <w:rStyle w:val="C3"/>
          <w:rFonts w:ascii="仿宋" w:hAnsi="仿宋"/>
          <w:color w:val="000000"/>
          <w:sz w:val="32"/>
        </w:rPr>
      </w:pPr>
      <w:r>
        <w:rPr>
          <w:rStyle w:val="C3"/>
          <w:rFonts w:ascii="仿宋" w:hAnsi="仿宋"/>
          <w:color w:val="000000"/>
          <w:sz w:val="32"/>
        </w:rPr>
        <w:t>（五）制定滹沱河干流及其支流源头治理方案；</w:t>
      </w:r>
    </w:p>
    <w:p>
      <w:pPr>
        <w:pStyle w:val="P1"/>
        <w:jc w:val="left"/>
        <w:rPr>
          <w:rStyle w:val="C3"/>
          <w:rFonts w:ascii="仿宋" w:hAnsi="仿宋"/>
          <w:color w:val="000000"/>
          <w:sz w:val="32"/>
        </w:rPr>
      </w:pPr>
      <w:r>
        <w:rPr>
          <w:rStyle w:val="C3"/>
          <w:rFonts w:ascii="仿宋" w:hAnsi="仿宋"/>
          <w:color w:val="000000"/>
          <w:sz w:val="32"/>
        </w:rPr>
        <w:t xml:space="preserve">    （六）协调流域干流、支流生态修复与保护工作；</w:t>
      </w:r>
    </w:p>
    <w:p>
      <w:pPr>
        <w:pStyle w:val="P1"/>
        <w:jc w:val="left"/>
        <w:rPr>
          <w:rStyle w:val="C3"/>
          <w:rFonts w:ascii="仿宋" w:hAnsi="仿宋"/>
          <w:color w:val="000000"/>
          <w:sz w:val="32"/>
        </w:rPr>
      </w:pPr>
      <w:r>
        <w:rPr>
          <w:rStyle w:val="C3"/>
          <w:rFonts w:ascii="仿宋" w:hAnsi="仿宋"/>
          <w:color w:val="000000"/>
          <w:sz w:val="32"/>
        </w:rPr>
        <w:t xml:space="preserve">    （七）根据流域生态修复与保护实际情况，需要依法履行的其他职责。</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县（市、区）人民政府及其有关部门、乡（镇）人民政府，按照各自职责做好流域生态修复与保护工作。</w:t>
      </w:r>
    </w:p>
    <w:p>
      <w:pPr>
        <w:pStyle w:val="P6"/>
        <w:tabs>
          <w:tab w:val="left" w:pos="0" w:leader="none"/>
        </w:tabs>
        <w:rPr>
          <w:rStyle w:val="C3"/>
          <w:rFonts w:ascii="仿宋" w:hAnsi="仿宋"/>
          <w:color w:val="000000"/>
          <w:sz w:val="32"/>
        </w:rPr>
      </w:pPr>
      <w:r>
        <w:rPr>
          <w:rStyle w:val="C3"/>
          <w:rFonts w:ascii="仿宋" w:hAnsi="仿宋"/>
          <w:color w:val="000000"/>
          <w:sz w:val="32"/>
        </w:rPr>
        <w:t xml:space="preserve">    流域村（居）民委员会协助乡（镇）人民政府做好流域生态修复与保护工作。</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市、县（市、区）、乡（镇）人民政府应当按照国家规定实行河长负责制，落实本行政区域内水资源保护、河湖水域岸线管理保护、水污染防治、水环境治理、水生态修复、执法监管等责任。</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市、县（市、区）、乡（镇）人民政府应当将流域生态修复与保护目标任务的完成情况，纳入政府年度目标责任考核内容。</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市、县（市、区）人民政府及其有关部门应当加强流域生态修复与保护的宣传教育，增强公众生态保护意识。</w:t>
      </w:r>
    </w:p>
    <w:p>
      <w:pPr>
        <w:pStyle w:val="P1"/>
        <w:ind w:firstLine="632"/>
        <w:rPr>
          <w:rStyle w:val="C3"/>
          <w:rFonts w:ascii="仿宋" w:hAnsi="仿宋"/>
          <w:color w:val="000000"/>
          <w:sz w:val="32"/>
        </w:rPr>
      </w:pPr>
      <w:r>
        <w:rPr>
          <w:rStyle w:val="C3"/>
          <w:rFonts w:ascii="仿宋" w:hAnsi="仿宋"/>
          <w:color w:val="000000"/>
          <w:sz w:val="32"/>
        </w:rPr>
        <w:t>任何单位和个人都有保护流域生态环境的义务，有权依法检举和制止破坏流域生态环境的行为。</w:t>
      </w:r>
    </w:p>
    <w:p>
      <w:pPr>
        <w:pStyle w:val="P2"/>
        <w:numPr>
          <w:ilvl w:val="1"/>
          <w:numId w:val="1"/>
        </w:numPr>
        <w:tabs>
          <w:tab w:val="left" w:pos="2312" w:leader="none"/>
        </w:tabs>
        <w:spacing w:before="579" w:after="579"/>
        <w:rPr>
          <w:rStyle w:val="C3"/>
          <w:sz w:val="32"/>
        </w:rPr>
      </w:pPr>
      <w:r>
        <w:rPr>
          <w:rStyle w:val="C3"/>
          <w:rFonts w:ascii="Microsoft YaHei UI" w:hAnsi="Microsoft YaHei UI"/>
          <w:sz w:val="32"/>
        </w:rPr>
        <w:t>流域规划与产业发展</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滹沱河流域生态修复与保护应当统一规划。规划分为综合规划和专项规划。</w:t>
      </w:r>
    </w:p>
    <w:p>
      <w:pPr>
        <w:pStyle w:val="P1"/>
        <w:ind w:firstLine="632"/>
        <w:rPr>
          <w:rStyle w:val="C3"/>
          <w:rFonts w:ascii="仿宋" w:hAnsi="仿宋"/>
          <w:color w:val="000000"/>
          <w:sz w:val="32"/>
        </w:rPr>
      </w:pPr>
      <w:r>
        <w:rPr>
          <w:rStyle w:val="C3"/>
          <w:rFonts w:ascii="仿宋" w:hAnsi="仿宋"/>
          <w:color w:val="000000"/>
          <w:sz w:val="32"/>
        </w:rPr>
        <w:t>省人民政府批准的《滹沱河流域山西段生态修复与保护规划》是滹沱河流域生态修复与保护的综合规划。</w:t>
      </w:r>
    </w:p>
    <w:p>
      <w:pPr>
        <w:pStyle w:val="P1"/>
        <w:ind w:firstLine="632"/>
        <w:rPr>
          <w:rStyle w:val="C3"/>
          <w:rFonts w:ascii="仿宋" w:hAnsi="仿宋"/>
          <w:color w:val="000000"/>
          <w:sz w:val="32"/>
        </w:rPr>
      </w:pPr>
      <w:r>
        <w:rPr>
          <w:rStyle w:val="C3"/>
          <w:rFonts w:ascii="仿宋" w:hAnsi="仿宋"/>
          <w:color w:val="000000"/>
          <w:sz w:val="32"/>
        </w:rPr>
        <w:t>县（市、区）人民政府有关部门根据综合规划，编制滹沱河流域生态修复与保护专项规划，报本级人民政府批准后实施。</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流域生态修复与保护规划应当与国民经济和社会发展规划、主体功能区规划、土地利用总体规划、城乡规划、环境保护规划以及矿产资源规划等相协调。</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县（市、区）人民政府有关部门应当制定规划实施方案，分解规划的目标和任务，明确责任分工与项目工程责任主体，保证规划的有效实施。</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市人民政府应当组织发展改革行政主管等有关部门，根据滹沱河流域产业发展规划和国家、省产业结构调整指导目录，制定鼓励、限制、禁止发展的产业、产能和产品目录，及时向社会公布并组织实施。</w:t>
      </w:r>
    </w:p>
    <w:p>
      <w:pPr>
        <w:pStyle w:val="P6"/>
        <w:tabs>
          <w:tab w:val="left" w:pos="0" w:leader="none"/>
        </w:tabs>
        <w:ind w:firstLine="632"/>
        <w:rPr>
          <w:rStyle w:val="C3"/>
          <w:rFonts w:ascii="仿宋" w:hAnsi="仿宋"/>
          <w:color w:val="000000"/>
          <w:sz w:val="32"/>
        </w:rPr>
      </w:pPr>
      <w:r>
        <w:rPr>
          <w:rStyle w:val="C3"/>
          <w:rFonts w:ascii="仿宋" w:hAnsi="仿宋"/>
          <w:color w:val="000000"/>
          <w:sz w:val="32"/>
        </w:rPr>
        <w:t>县（市、区）人民政府应当根据生态资源和环境承载能力，合理安排城乡建设和产业布局，优化产业结构。</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县（市、区）人民政府应当根据流域规划，将节水、节能、资源综合利用、清洁和可再生能源等项目列为重点发展领域。</w:t>
      </w:r>
    </w:p>
    <w:p>
      <w:pPr>
        <w:pStyle w:val="P1"/>
        <w:ind w:firstLine="632"/>
        <w:rPr>
          <w:rStyle w:val="C3"/>
          <w:rFonts w:ascii="仿宋" w:hAnsi="仿宋"/>
          <w:color w:val="000000"/>
          <w:sz w:val="32"/>
        </w:rPr>
      </w:pPr>
      <w:r>
        <w:rPr>
          <w:rStyle w:val="C3"/>
          <w:rFonts w:ascii="仿宋" w:hAnsi="仿宋"/>
          <w:color w:val="000000"/>
          <w:sz w:val="32"/>
        </w:rPr>
        <w:t>鼓励企业使用新技术、新工艺、新设备、新产品、新材料，改造和提升传统产业，开展废弃物处理及再生资源综合利用，发展循环经济。</w:t>
      </w:r>
    </w:p>
    <w:p>
      <w:pPr>
        <w:pStyle w:val="P2"/>
        <w:numPr>
          <w:ilvl w:val="1"/>
          <w:numId w:val="1"/>
        </w:numPr>
        <w:tabs>
          <w:tab w:val="left" w:pos="2312" w:leader="none"/>
        </w:tabs>
        <w:spacing w:before="579" w:after="579"/>
        <w:rPr>
          <w:rStyle w:val="C3"/>
          <w:sz w:val="32"/>
        </w:rPr>
      </w:pPr>
      <w:r>
        <w:rPr>
          <w:rStyle w:val="C3"/>
          <w:rFonts w:ascii="Microsoft YaHei UI" w:hAnsi="Microsoft YaHei UI"/>
          <w:sz w:val="32"/>
        </w:rPr>
        <w:t>生态修复</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流域生态修复应当坚持节水优先、自然修复与人工修复相结合，提高流域生态环境承载能力。</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水资源配置应当统筹兼顾上下游、左右岸和有关地区之间的利益，推进流域内河湖连通，实现多源互补，恢复流域生态功能。</w:t>
      </w:r>
    </w:p>
    <w:p>
      <w:pPr>
        <w:pStyle w:val="P1"/>
        <w:ind w:firstLine="632"/>
        <w:rPr>
          <w:rStyle w:val="C3"/>
          <w:rFonts w:ascii="仿宋" w:hAnsi="仿宋"/>
          <w:color w:val="000000"/>
          <w:sz w:val="32"/>
        </w:rPr>
      </w:pPr>
      <w:r>
        <w:rPr>
          <w:rStyle w:val="C3"/>
          <w:rFonts w:ascii="仿宋" w:hAnsi="仿宋"/>
          <w:color w:val="000000"/>
          <w:sz w:val="32"/>
        </w:rPr>
        <w:t>水资源利用应当优先使用地表水，合理调配外调水，充分利用矿坑水和再生水，有效涵养和保护地下水。</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市、县（市、区）人民政府按照河道、湖泊（库）和其他水利工程管理权限，制定岸线利用管理规划。岸线利用管理规划应当明确岸线划定、利用和管理等要求。</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县（市、区）人民政府应当加强滹沱河干流和支流源头、河道、岩溶泉域重点保护区的自然修复和保护。禁止在流域内建设妨碍生态修复与保护的建筑物、构筑物以及从事其他妨碍流域生态修复与保护的活动。</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县（市、区）人民政府应当在城乡人口密集段实施生态型河道改造，现有干流、支流大堤外侧和滩涂低洼地带建设堤外湿地，低洼段设堤防。</w:t>
      </w:r>
    </w:p>
    <w:p>
      <w:pPr>
        <w:pStyle w:val="P1"/>
        <w:ind w:firstLine="632"/>
        <w:rPr>
          <w:rStyle w:val="C3"/>
          <w:rFonts w:ascii="仿宋" w:hAnsi="仿宋"/>
          <w:color w:val="000000"/>
          <w:sz w:val="32"/>
        </w:rPr>
      </w:pPr>
      <w:r>
        <w:rPr>
          <w:rStyle w:val="C3"/>
          <w:rFonts w:ascii="仿宋" w:hAnsi="仿宋"/>
          <w:color w:val="000000"/>
          <w:sz w:val="32"/>
        </w:rPr>
        <w:t>本条例实施前，经有关部门批准占用河滩地的，应当按照水行政主管部门制定的河道整治规划，逐步将占用的河滩地恢复为蓄水湿地。</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流域保护区范围内应当加大植树造林种草力度，提高植被覆盖率，增加高郁闭度森林水源涵养区，减少水土流失。</w:t>
      </w:r>
    </w:p>
    <w:p>
      <w:pPr>
        <w:pStyle w:val="P1"/>
        <w:ind w:firstLine="632"/>
        <w:rPr>
          <w:rStyle w:val="C3"/>
          <w:rFonts w:ascii="仿宋" w:hAnsi="仿宋"/>
          <w:color w:val="000000"/>
          <w:sz w:val="32"/>
        </w:rPr>
      </w:pPr>
      <w:r>
        <w:rPr>
          <w:rStyle w:val="C3"/>
          <w:rFonts w:ascii="仿宋" w:hAnsi="仿宋"/>
          <w:color w:val="000000"/>
          <w:sz w:val="32"/>
        </w:rPr>
        <w:t>任何单位和个人不得擅自变更水源涵养林地和天然草甸用途。不得违法占用、征用、征收流域内的公益林地和天然草甸。</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县（市、区）人民政府及其有关部门应当采取措施，改善流域内野生动植物生存环境，逐步恢复野生动植物资源种群主要栖息繁衍场所，对野生动植物种群及栖息地进行监测，对种群濒危的野生动植物及其生存环境，采取人工措施予以恢复。</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市、县（市、区）人民政府应当建立和实施林地、草地、湿地、耕地生态补偿制度。</w:t>
      </w:r>
    </w:p>
    <w:p>
      <w:pPr>
        <w:pStyle w:val="P1"/>
        <w:ind w:firstLine="632"/>
        <w:rPr>
          <w:rStyle w:val="C3"/>
          <w:rFonts w:ascii="仿宋" w:hAnsi="仿宋"/>
          <w:color w:val="000000"/>
          <w:sz w:val="32"/>
        </w:rPr>
      </w:pPr>
      <w:r>
        <w:rPr>
          <w:rStyle w:val="C3"/>
          <w:rFonts w:ascii="仿宋" w:hAnsi="仿宋"/>
          <w:color w:val="000000"/>
          <w:sz w:val="32"/>
        </w:rPr>
        <w:t>河源泉源区、集中式饮用水水源地生态补偿和以政府购买服务为主的公益林管护，按照省人民政府有关规定执行。</w:t>
      </w:r>
    </w:p>
    <w:p>
      <w:pPr>
        <w:pStyle w:val="P2"/>
        <w:numPr>
          <w:ilvl w:val="1"/>
          <w:numId w:val="1"/>
        </w:numPr>
        <w:tabs>
          <w:tab w:val="left" w:pos="2312" w:leader="none"/>
        </w:tabs>
        <w:spacing w:before="579" w:after="579"/>
        <w:rPr>
          <w:rStyle w:val="C3"/>
          <w:sz w:val="32"/>
        </w:rPr>
      </w:pPr>
      <w:r>
        <w:rPr>
          <w:rStyle w:val="C3"/>
          <w:rFonts w:ascii="Microsoft YaHei UI" w:hAnsi="Microsoft YaHei UI"/>
          <w:sz w:val="32"/>
        </w:rPr>
        <w:t>生态保护</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流域内的建设项目选址应当避让生态保护区、河流源头和岩溶泉域重点保护区，无法避让的，应当采取保护措施，提高防治标准，防止造成生态破坏。</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流域水量调度应当遵循总量控制、断面流量控制、分级管理的原则，实行年度水量调度计划、月旬水量调度方案和实时调度指令相结合的调度方式。</w:t>
      </w:r>
    </w:p>
    <w:p>
      <w:pPr>
        <w:pStyle w:val="P1"/>
        <w:ind w:firstLine="632"/>
        <w:rPr>
          <w:rStyle w:val="C3"/>
          <w:rFonts w:ascii="仿宋" w:hAnsi="仿宋"/>
          <w:color w:val="000000"/>
          <w:sz w:val="32"/>
        </w:rPr>
      </w:pPr>
      <w:r>
        <w:rPr>
          <w:rStyle w:val="C3"/>
          <w:rFonts w:ascii="仿宋" w:hAnsi="仿宋"/>
          <w:color w:val="000000"/>
          <w:sz w:val="32"/>
        </w:rPr>
        <w:t>县（市、区）人民政府应当执行市人民政府批准的水量配置方案，确保断面流量符合控制指标。</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严格限制地下水开采，未经有关部门批准，任何单位和个人不得凿井取水。</w:t>
      </w:r>
    </w:p>
    <w:p>
      <w:pPr>
        <w:pStyle w:val="P6"/>
        <w:tabs>
          <w:tab w:val="left" w:pos="0" w:leader="none"/>
        </w:tabs>
        <w:ind w:firstLine="632"/>
        <w:rPr>
          <w:rStyle w:val="C3"/>
          <w:rFonts w:ascii="仿宋" w:hAnsi="仿宋"/>
          <w:color w:val="000000"/>
          <w:sz w:val="32"/>
        </w:rPr>
      </w:pPr>
      <w:r>
        <w:rPr>
          <w:rStyle w:val="C3"/>
          <w:rFonts w:ascii="仿宋" w:hAnsi="仿宋"/>
          <w:color w:val="000000"/>
          <w:sz w:val="32"/>
        </w:rPr>
        <w:t>地下水开采按照省人民政府划定的禁采区和限采区实行水量、水位双控制管理。在禁止开采区内，不得新开凿深井；在限制开采区内，不得增加地下水取水总量，并逐年削减地下水取水量；地下水开采区内地下水实际开采量不得超过地下水可开采量，开采强度不得超过地下水补给量。</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禁止围垦河道。本条例实施前已经围垦的，县（市、区）人民政府应当采取措施，退地还河。</w:t>
      </w:r>
    </w:p>
    <w:p>
      <w:pPr>
        <w:pStyle w:val="P1"/>
        <w:ind w:firstLine="632"/>
        <w:rPr>
          <w:rStyle w:val="C3"/>
          <w:rFonts w:ascii="仿宋" w:hAnsi="仿宋"/>
          <w:color w:val="000000"/>
          <w:sz w:val="32"/>
        </w:rPr>
      </w:pPr>
      <w:r>
        <w:rPr>
          <w:rStyle w:val="C3"/>
          <w:rFonts w:ascii="仿宋" w:hAnsi="仿宋"/>
          <w:color w:val="000000"/>
          <w:sz w:val="32"/>
        </w:rPr>
        <w:t>禁止在河源、河道保护范围内堆放、倾倒砂、石、土、矸石、尾矿、废渣等废弃物。</w:t>
      </w:r>
    </w:p>
    <w:p>
      <w:pPr>
        <w:pStyle w:val="P6"/>
        <w:numPr>
          <w:ilvl w:val="0"/>
          <w:numId w:val="2"/>
        </w:numPr>
        <w:tabs>
          <w:tab w:val="left" w:pos="0" w:leader="none"/>
          <w:tab w:val="left" w:pos="1620" w:leader="none"/>
        </w:tabs>
        <w:ind w:firstLine="0" w:left="0"/>
        <w:rPr>
          <w:rStyle w:val="C3"/>
          <w:rFonts w:ascii="仿宋" w:hAnsi="仿宋"/>
          <w:b w:val="1"/>
          <w:color w:val="000000"/>
          <w:sz w:val="32"/>
        </w:rPr>
      </w:pPr>
      <w:r>
        <w:rPr>
          <w:rStyle w:val="C3"/>
          <w:rFonts w:ascii="仿宋" w:hAnsi="仿宋"/>
          <w:color w:val="000000"/>
          <w:sz w:val="32"/>
        </w:rPr>
        <w:t>县（市、区）人民政府应当按照流域山水林田湖草生态保护修复实施方案，加强矿山生态环境及地质灾害综合治理。</w:t>
      </w:r>
    </w:p>
    <w:p>
      <w:pPr>
        <w:pStyle w:val="P6"/>
        <w:tabs>
          <w:tab w:val="left" w:pos="0" w:leader="none"/>
          <w:tab w:val="left" w:pos="1620" w:leader="none"/>
        </w:tabs>
        <w:ind w:firstLine="632"/>
        <w:rPr>
          <w:rStyle w:val="C3"/>
          <w:rFonts w:ascii="仿宋" w:hAnsi="仿宋"/>
          <w:b w:val="1"/>
          <w:color w:val="000000"/>
          <w:sz w:val="32"/>
        </w:rPr>
      </w:pPr>
      <w:r>
        <w:rPr>
          <w:rStyle w:val="C3"/>
          <w:rFonts w:ascii="仿宋" w:hAnsi="仿宋"/>
          <w:color w:val="000000"/>
          <w:sz w:val="32"/>
        </w:rPr>
        <w:t>在流域规划保护区的生产建设项目，生产建设单位应当依法编制水土保持方案，并按照批准的水土保持方案，采取水土流失预防和治理措施。</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县（市、区）人民政府水行政主管部门应当按照水功能区划对水源的要求和水体的自净能力，核定水域的纳污能力，向环境保护主管部门提出水域限制排污总量意见，实施排污总量控制。</w:t>
      </w:r>
    </w:p>
    <w:p>
      <w:pPr>
        <w:pStyle w:val="P1"/>
        <w:ind w:firstLine="632"/>
        <w:rPr>
          <w:rStyle w:val="C3"/>
          <w:rFonts w:ascii="仿宋" w:hAnsi="仿宋"/>
          <w:color w:val="000000"/>
          <w:sz w:val="32"/>
        </w:rPr>
      </w:pPr>
      <w:r>
        <w:rPr>
          <w:rStyle w:val="C3"/>
          <w:rFonts w:ascii="仿宋" w:hAnsi="仿宋"/>
          <w:color w:val="000000"/>
          <w:sz w:val="32"/>
        </w:rPr>
        <w:t>排污单位排放污染物不得超过国家和省的污染物排放标准，不得超过排放总量控制指标。</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任何单位和个人不得在滹沱河流域饮用水水源保护区建设与水环境保护无关的项目，不得从事影响饮用水水源水质的活动。</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自本条例实施之日起五年内，县（市、区）人民政府所在城镇和重点建制镇的生活污水应当纳入公共污水管网并经污水集中处理设施处理。禁止城乡生活污水、垃圾直接进入河道。</w:t>
      </w:r>
    </w:p>
    <w:p>
      <w:pPr>
        <w:pStyle w:val="P6"/>
        <w:tabs>
          <w:tab w:val="left" w:pos="0" w:leader="none"/>
        </w:tabs>
        <w:ind w:firstLine="632"/>
        <w:rPr>
          <w:rStyle w:val="C3"/>
          <w:rFonts w:ascii="仿宋" w:hAnsi="仿宋"/>
          <w:color w:val="000000"/>
          <w:sz w:val="32"/>
        </w:rPr>
      </w:pPr>
      <w:r>
        <w:rPr>
          <w:rStyle w:val="C3"/>
          <w:rFonts w:ascii="仿宋" w:hAnsi="仿宋"/>
          <w:color w:val="000000"/>
          <w:sz w:val="32"/>
        </w:rPr>
        <w:t>新建集中处理污水设施，应当符合脱氮除磷达标排放要求；现有的集中处理设施不符合脱氮除磷要求的，县（市、区）人民政府应当自本条例实施之日起一年内完成技术改造。</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县（市、区）人民政府农业主管部门和其他有关部门应当推广测土配方施肥、精准施肥、生物防治病虫害等先进农业生产技术，使用安全、高效、低毒和低残留农药以及可降解地膜，实施农药化肥减施工程，倡导粪污资源化利用，开展清洁小流域建设，防止农业面源污染。</w:t>
      </w:r>
    </w:p>
    <w:p>
      <w:pPr>
        <w:pStyle w:val="P2"/>
        <w:numPr>
          <w:ilvl w:val="1"/>
          <w:numId w:val="1"/>
        </w:numPr>
        <w:tabs>
          <w:tab w:val="left" w:pos="2312" w:leader="none"/>
        </w:tabs>
        <w:spacing w:before="579" w:after="579"/>
        <w:rPr>
          <w:rStyle w:val="C3"/>
          <w:sz w:val="32"/>
        </w:rPr>
      </w:pPr>
      <w:r>
        <w:rPr>
          <w:rStyle w:val="C3"/>
          <w:rFonts w:ascii="Microsoft YaHei UI" w:hAnsi="Microsoft YaHei UI"/>
          <w:sz w:val="32"/>
        </w:rPr>
        <w:t>投融资保障</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流域生态修复与保护的资金来源包括：</w:t>
      </w:r>
    </w:p>
    <w:p>
      <w:pPr>
        <w:pStyle w:val="P1"/>
        <w:ind w:firstLine="632"/>
        <w:rPr>
          <w:rStyle w:val="C3"/>
          <w:rFonts w:ascii="仿宋" w:hAnsi="仿宋"/>
          <w:color w:val="000000"/>
          <w:sz w:val="32"/>
        </w:rPr>
      </w:pPr>
      <w:r>
        <w:rPr>
          <w:rStyle w:val="C3"/>
          <w:rFonts w:ascii="仿宋" w:hAnsi="仿宋"/>
          <w:color w:val="000000"/>
          <w:sz w:val="32"/>
        </w:rPr>
        <w:t>（一）依法征收的各类生态保护税收、规费；</w:t>
      </w:r>
    </w:p>
    <w:p>
      <w:pPr>
        <w:pStyle w:val="P1"/>
        <w:ind w:firstLine="632"/>
        <w:rPr>
          <w:rStyle w:val="C3"/>
          <w:rFonts w:ascii="仿宋" w:hAnsi="仿宋"/>
          <w:color w:val="000000"/>
          <w:sz w:val="32"/>
        </w:rPr>
      </w:pPr>
      <w:r>
        <w:rPr>
          <w:rStyle w:val="C3"/>
          <w:rFonts w:ascii="仿宋" w:hAnsi="仿宋"/>
          <w:color w:val="000000"/>
          <w:sz w:val="32"/>
        </w:rPr>
        <w:t>（二）国家、省、市、县（市、区）生态保护专项资金；</w:t>
      </w:r>
    </w:p>
    <w:p>
      <w:pPr>
        <w:pStyle w:val="P1"/>
        <w:ind w:firstLine="632"/>
        <w:rPr>
          <w:rStyle w:val="C3"/>
          <w:rFonts w:ascii="仿宋" w:hAnsi="仿宋"/>
          <w:color w:val="000000"/>
          <w:sz w:val="32"/>
        </w:rPr>
      </w:pPr>
      <w:r>
        <w:rPr>
          <w:rStyle w:val="C3"/>
          <w:rFonts w:ascii="仿宋" w:hAnsi="仿宋"/>
          <w:color w:val="000000"/>
          <w:sz w:val="32"/>
        </w:rPr>
        <w:t>（三）土地出让收益中计提的农田水利建设资金收入；</w:t>
      </w:r>
    </w:p>
    <w:p>
      <w:pPr>
        <w:pStyle w:val="P1"/>
        <w:ind w:firstLine="632"/>
        <w:rPr>
          <w:rStyle w:val="C3"/>
          <w:rFonts w:ascii="仿宋" w:hAnsi="仿宋"/>
          <w:color w:val="000000"/>
          <w:sz w:val="32"/>
        </w:rPr>
      </w:pPr>
      <w:r>
        <w:rPr>
          <w:rStyle w:val="C3"/>
          <w:rFonts w:ascii="仿宋" w:hAnsi="仿宋"/>
          <w:color w:val="000000"/>
          <w:sz w:val="32"/>
        </w:rPr>
        <w:t>（四）其他资金。</w:t>
      </w:r>
    </w:p>
    <w:p>
      <w:pPr>
        <w:pStyle w:val="P1"/>
        <w:ind w:firstLine="632"/>
        <w:rPr>
          <w:rStyle w:val="C3"/>
          <w:rFonts w:ascii="仿宋" w:hAnsi="仿宋"/>
          <w:color w:val="000000"/>
          <w:sz w:val="32"/>
        </w:rPr>
      </w:pPr>
      <w:r>
        <w:rPr>
          <w:rStyle w:val="C3"/>
          <w:rFonts w:ascii="仿宋" w:hAnsi="仿宋"/>
          <w:color w:val="000000"/>
          <w:sz w:val="32"/>
        </w:rPr>
        <w:t>流域生态修复与保护资金，应当列入本级财政预算，并逐步增加投入。</w:t>
      </w:r>
    </w:p>
    <w:p>
      <w:pPr>
        <w:pStyle w:val="P1"/>
        <w:ind w:firstLine="632"/>
        <w:rPr>
          <w:rStyle w:val="C3"/>
          <w:rFonts w:ascii="仿宋" w:hAnsi="仿宋"/>
          <w:color w:val="000000"/>
          <w:sz w:val="32"/>
        </w:rPr>
      </w:pPr>
      <w:r>
        <w:rPr>
          <w:rStyle w:val="C3"/>
          <w:rFonts w:ascii="仿宋" w:hAnsi="仿宋"/>
          <w:color w:val="000000"/>
          <w:sz w:val="32"/>
        </w:rPr>
        <w:t>鼓励金融机构投资流域生态修复与保护项目。</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对没有直接收益的河湖堤防整治、水域恢复、移民搬迁、河源泉源保护、水土保持等公益性项目，以财政引导为主，鼓励和吸引社会资本参与。</w:t>
      </w:r>
    </w:p>
    <w:p>
      <w:pPr>
        <w:pStyle w:val="P1"/>
        <w:ind w:firstLine="632"/>
        <w:rPr>
          <w:rStyle w:val="C3"/>
          <w:rFonts w:ascii="仿宋" w:hAnsi="仿宋"/>
          <w:color w:val="000000"/>
          <w:sz w:val="32"/>
        </w:rPr>
      </w:pPr>
      <w:r>
        <w:rPr>
          <w:rStyle w:val="C3"/>
          <w:rFonts w:ascii="仿宋" w:hAnsi="仿宋"/>
          <w:color w:val="000000"/>
          <w:sz w:val="32"/>
        </w:rPr>
        <w:t>投资供水工程、污水处理、农业灌溉等公益项目的，可以按照特许经营、政府购买服务、政府与社会资本合作模式，以市场化运作方式建设，由政府安排财政专项资金给予补贴。</w:t>
      </w:r>
    </w:p>
    <w:p>
      <w:pPr>
        <w:pStyle w:val="P2"/>
        <w:numPr>
          <w:ilvl w:val="1"/>
          <w:numId w:val="1"/>
        </w:numPr>
        <w:tabs>
          <w:tab w:val="left" w:pos="2312" w:leader="none"/>
        </w:tabs>
        <w:spacing w:before="579" w:after="579"/>
        <w:rPr>
          <w:rStyle w:val="C3"/>
          <w:sz w:val="32"/>
        </w:rPr>
      </w:pPr>
      <w:r>
        <w:rPr>
          <w:rStyle w:val="C3"/>
          <w:rFonts w:ascii="Microsoft YaHei UI" w:hAnsi="Microsoft YaHei UI"/>
          <w:sz w:val="32"/>
        </w:rPr>
        <w:t>监督检查</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市人民政府应当组织有关部门，按照国家统一规划布局，建立流域生态修复与保护监测体系和信息共享平台，实施数据信息共享，依法统一发布信息，接受社会监督。</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市、县（市、区）人民政府的财政、审计部门负责对流域生态修复与保护的各类财政专项资金的使用情况依法进行财政、审计监督。财政与审计监督的结果应当向社会公布，接受社会监督。</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市、县（市、区）人民政府有关部门应当建立健全联合执法机制，加强对流域生态修复与保护工作的执法检查。</w:t>
      </w:r>
    </w:p>
    <w:p>
      <w:pPr>
        <w:pStyle w:val="P2"/>
        <w:numPr>
          <w:ilvl w:val="1"/>
          <w:numId w:val="1"/>
        </w:numPr>
        <w:tabs>
          <w:tab w:val="left" w:pos="2312" w:leader="none"/>
        </w:tabs>
        <w:spacing w:before="579" w:after="579"/>
        <w:rPr>
          <w:rStyle w:val="C3"/>
          <w:sz w:val="32"/>
        </w:rPr>
      </w:pPr>
      <w:r>
        <w:rPr>
          <w:rStyle w:val="C3"/>
          <w:rFonts w:ascii="Microsoft YaHei UI" w:hAnsi="Microsoft YaHei UI"/>
          <w:sz w:val="32"/>
        </w:rPr>
        <w:t>法律责任</w:t>
      </w:r>
    </w:p>
    <w:p>
      <w:pPr>
        <w:pStyle w:val="P6"/>
        <w:numPr>
          <w:ilvl w:val="0"/>
          <w:numId w:val="2"/>
        </w:numPr>
        <w:tabs>
          <w:tab w:val="left" w:pos="0" w:leader="none"/>
          <w:tab w:val="left" w:pos="1620" w:leader="none"/>
        </w:tabs>
        <w:ind w:firstLine="0" w:left="0"/>
        <w:jc w:val="left"/>
        <w:rPr>
          <w:rStyle w:val="C3"/>
          <w:rFonts w:ascii="仿宋" w:hAnsi="仿宋"/>
          <w:color w:val="000000"/>
          <w:sz w:val="32"/>
        </w:rPr>
      </w:pPr>
      <w:r>
        <w:rPr>
          <w:rStyle w:val="C3"/>
          <w:rFonts w:ascii="仿宋" w:hAnsi="仿宋"/>
          <w:color w:val="000000"/>
          <w:sz w:val="32"/>
        </w:rPr>
        <w:t>违反本条例规定，法律、法规已有法律责任规定的，从其规定。</w:t>
      </w:r>
    </w:p>
    <w:p>
      <w:pPr>
        <w:pStyle w:val="P6"/>
        <w:numPr>
          <w:ilvl w:val="0"/>
          <w:numId w:val="2"/>
        </w:numPr>
        <w:tabs>
          <w:tab w:val="left" w:pos="0" w:leader="none"/>
          <w:tab w:val="left" w:pos="1620" w:leader="none"/>
        </w:tabs>
        <w:ind w:firstLine="0" w:left="0"/>
        <w:jc w:val="left"/>
        <w:rPr>
          <w:rStyle w:val="C3"/>
          <w:rFonts w:ascii="仿宋" w:hAnsi="仿宋"/>
          <w:color w:val="000000"/>
          <w:sz w:val="32"/>
        </w:rPr>
      </w:pPr>
      <w:r>
        <w:rPr>
          <w:rStyle w:val="C3"/>
          <w:rFonts w:ascii="仿宋" w:hAnsi="仿宋"/>
          <w:color w:val="000000"/>
          <w:sz w:val="32"/>
        </w:rPr>
        <w:t>违反本条例在流域内建设妨碍生态修复与保护的建筑物、构筑物，或者从事其他妨碍流域生态修复与保护活动的，由市、县（市、区）人民政府水行政主管部门责令停止违法行为，限期拆除违法建筑物、构筑物，恢复原状；逾期不拆除、不恢复原状的，强行拆除，所需费用由违法单位或者个人负担，并处以一万元以上十万元以下罚款。</w:t>
      </w:r>
    </w:p>
    <w:p>
      <w:pPr>
        <w:pStyle w:val="P6"/>
        <w:numPr>
          <w:ilvl w:val="0"/>
          <w:numId w:val="2"/>
        </w:numPr>
        <w:tabs>
          <w:tab w:val="left" w:pos="0" w:leader="none"/>
          <w:tab w:val="left" w:pos="1620" w:leader="none"/>
        </w:tabs>
        <w:ind w:firstLine="0" w:left="0"/>
        <w:jc w:val="left"/>
        <w:rPr>
          <w:rStyle w:val="C3"/>
          <w:rFonts w:ascii="仿宋" w:hAnsi="仿宋"/>
          <w:color w:val="000000"/>
          <w:sz w:val="32"/>
        </w:rPr>
      </w:pPr>
      <w:r>
        <w:rPr>
          <w:rStyle w:val="C3"/>
          <w:rFonts w:ascii="仿宋" w:hAnsi="仿宋"/>
          <w:color w:val="000000"/>
          <w:sz w:val="32"/>
        </w:rPr>
        <w:t>违反本条例规定，擅自变更水源涵养林地和天然草甸用途的，由市、县（市、区）人民政府林业主管部门责令停止违法行为，没收违法所得，限期恢复原状，并处非法变更水源涵养林地每平米三十元罚款、非法变更天然草甸每平米五十元罚款。</w:t>
      </w:r>
    </w:p>
    <w:p>
      <w:pPr>
        <w:pStyle w:val="P6"/>
        <w:numPr>
          <w:ilvl w:val="0"/>
          <w:numId w:val="2"/>
        </w:numPr>
        <w:tabs>
          <w:tab w:val="left" w:pos="0" w:leader="none"/>
          <w:tab w:val="left" w:pos="1620" w:leader="none"/>
        </w:tabs>
        <w:ind w:firstLine="0" w:left="0"/>
        <w:jc w:val="left"/>
        <w:rPr>
          <w:rStyle w:val="C3"/>
          <w:rFonts w:ascii="仿宋" w:hAnsi="仿宋"/>
          <w:color w:val="000000"/>
          <w:sz w:val="32"/>
        </w:rPr>
      </w:pPr>
      <w:r>
        <w:rPr>
          <w:rStyle w:val="C3"/>
          <w:rFonts w:ascii="仿宋" w:hAnsi="仿宋"/>
          <w:color w:val="000000"/>
          <w:sz w:val="32"/>
        </w:rPr>
        <w:t>国家工作人员在流域生态修复与保护工作中，有下列情形之一的，对直接负责的主管人员和其他直接责任人员依法给予处分：</w:t>
      </w:r>
    </w:p>
    <w:p>
      <w:pPr>
        <w:pStyle w:val="P1"/>
        <w:ind w:firstLine="632"/>
        <w:jc w:val="left"/>
        <w:rPr>
          <w:rStyle w:val="C3"/>
          <w:rFonts w:ascii="仿宋" w:hAnsi="仿宋"/>
          <w:color w:val="000000"/>
          <w:sz w:val="32"/>
        </w:rPr>
      </w:pPr>
      <w:r>
        <w:rPr>
          <w:rStyle w:val="C3"/>
          <w:rFonts w:ascii="仿宋" w:hAnsi="仿宋"/>
          <w:color w:val="000000"/>
          <w:sz w:val="32"/>
        </w:rPr>
        <w:t>（一）在编制流域规划或者实施方案中弄虚作假的；</w:t>
      </w:r>
    </w:p>
    <w:p>
      <w:pPr>
        <w:pStyle w:val="P1"/>
        <w:ind w:firstLine="632"/>
        <w:jc w:val="left"/>
        <w:rPr>
          <w:rStyle w:val="C3"/>
          <w:rFonts w:ascii="仿宋" w:hAnsi="仿宋"/>
          <w:color w:val="000000"/>
          <w:sz w:val="32"/>
        </w:rPr>
      </w:pPr>
      <w:r>
        <w:rPr>
          <w:rStyle w:val="C3"/>
          <w:rFonts w:ascii="仿宋" w:hAnsi="仿宋"/>
          <w:color w:val="000000"/>
          <w:sz w:val="32"/>
        </w:rPr>
        <w:t>（二）不执行水量分配和调度计划、指令的；</w:t>
      </w:r>
    </w:p>
    <w:p>
      <w:pPr>
        <w:pStyle w:val="P1"/>
        <w:ind w:firstLine="632"/>
        <w:jc w:val="left"/>
        <w:rPr>
          <w:rStyle w:val="C3"/>
          <w:rFonts w:ascii="仿宋" w:hAnsi="仿宋"/>
          <w:color w:val="000000"/>
          <w:sz w:val="32"/>
        </w:rPr>
      </w:pPr>
      <w:r>
        <w:rPr>
          <w:rStyle w:val="C3"/>
          <w:rFonts w:ascii="仿宋" w:hAnsi="仿宋"/>
          <w:color w:val="000000"/>
          <w:sz w:val="32"/>
        </w:rPr>
        <w:t>（三）违反规定审批开发建设项目的；</w:t>
      </w:r>
    </w:p>
    <w:p>
      <w:pPr>
        <w:pStyle w:val="P1"/>
        <w:ind w:firstLine="632"/>
        <w:jc w:val="left"/>
        <w:rPr>
          <w:rStyle w:val="C3"/>
          <w:rFonts w:ascii="仿宋" w:hAnsi="仿宋"/>
          <w:color w:val="000000"/>
          <w:sz w:val="32"/>
        </w:rPr>
      </w:pPr>
      <w:r>
        <w:rPr>
          <w:rStyle w:val="C3"/>
          <w:rFonts w:ascii="仿宋" w:hAnsi="仿宋"/>
          <w:color w:val="000000"/>
          <w:sz w:val="32"/>
        </w:rPr>
        <w:t>（四）违反规定使用生态修复与保护资金的；</w:t>
      </w:r>
    </w:p>
    <w:p>
      <w:pPr>
        <w:pStyle w:val="P1"/>
        <w:ind w:firstLine="632"/>
        <w:jc w:val="left"/>
        <w:rPr>
          <w:rStyle w:val="C3"/>
          <w:rFonts w:ascii="仿宋" w:hAnsi="仿宋"/>
          <w:color w:val="000000"/>
          <w:sz w:val="32"/>
        </w:rPr>
      </w:pPr>
      <w:r>
        <w:rPr>
          <w:rStyle w:val="C3"/>
          <w:rFonts w:ascii="仿宋" w:hAnsi="仿宋"/>
          <w:color w:val="000000"/>
          <w:sz w:val="32"/>
        </w:rPr>
        <w:t>（五）不履行法定职责的；</w:t>
      </w:r>
    </w:p>
    <w:p>
      <w:pPr>
        <w:pStyle w:val="P6"/>
        <w:tabs>
          <w:tab w:val="left" w:pos="0" w:leader="none"/>
        </w:tabs>
        <w:ind w:firstLine="632"/>
        <w:jc w:val="left"/>
        <w:rPr>
          <w:rStyle w:val="C3"/>
          <w:rFonts w:ascii="仿宋" w:hAnsi="仿宋"/>
          <w:color w:val="000000"/>
          <w:sz w:val="32"/>
        </w:rPr>
      </w:pPr>
      <w:r>
        <w:rPr>
          <w:rStyle w:val="C3"/>
          <w:rFonts w:ascii="仿宋" w:hAnsi="仿宋"/>
          <w:color w:val="000000"/>
          <w:sz w:val="32"/>
        </w:rPr>
        <w:t>（六）其他滥用职权、玩忽职守、徇私舞弊的。</w:t>
      </w:r>
    </w:p>
    <w:p>
      <w:pPr>
        <w:pStyle w:val="P2"/>
        <w:numPr>
          <w:ilvl w:val="1"/>
          <w:numId w:val="1"/>
        </w:numPr>
        <w:tabs>
          <w:tab w:val="left" w:pos="2312" w:leader="none"/>
        </w:tabs>
        <w:spacing w:before="579" w:after="579"/>
        <w:rPr>
          <w:rStyle w:val="C3"/>
          <w:sz w:val="32"/>
        </w:rPr>
      </w:pPr>
      <w:r>
        <w:rPr>
          <w:rStyle w:val="C3"/>
          <w:rFonts w:ascii="Microsoft YaHei UI" w:hAnsi="Microsoft YaHei UI"/>
          <w:sz w:val="32"/>
        </w:rPr>
        <w:t>附则</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五台山风景名胜区管理委员会对流域内的生态修复与保护工作，适用本条例。</w:t>
      </w:r>
    </w:p>
    <w:p>
      <w:pPr>
        <w:pStyle w:val="P6"/>
        <w:numPr>
          <w:ilvl w:val="0"/>
          <w:numId w:val="2"/>
        </w:numPr>
        <w:tabs>
          <w:tab w:val="left" w:pos="0" w:leader="none"/>
          <w:tab w:val="left" w:pos="1620" w:leader="none"/>
        </w:tabs>
        <w:ind w:firstLine="0" w:left="0"/>
        <w:rPr>
          <w:rStyle w:val="C3"/>
          <w:rFonts w:ascii="仿宋" w:hAnsi="仿宋"/>
          <w:color w:val="000000"/>
          <w:sz w:val="32"/>
        </w:rPr>
      </w:pPr>
      <w:r>
        <w:rPr>
          <w:rStyle w:val="C3"/>
          <w:rFonts w:ascii="仿宋" w:hAnsi="仿宋"/>
          <w:color w:val="000000"/>
          <w:sz w:val="32"/>
        </w:rPr>
        <w:t>本条例自2019年5月1日起施行。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rPr>
        <w:rStyle w:val="C5"/>
      </w:rPr>
    </w:pPr>
  </w:p>
</w:ftr>
</file>

<file path=word/numbering.xml><?xml version="1.0" encoding="utf-8"?>
<w:numbering xmlns:w="http://schemas.openxmlformats.org/wordprocessingml/2006/main">
  <w:abstractNum w:abstractNumId="0">
    <w:nsid w:val="8D03B744"/>
    <w:multiLevelType w:val="multilevel"/>
    <w:lvl w:ilvl="0">
      <w:start w:val="1"/>
      <w:numFmt w:val="chineseCounting"/>
      <w:suff w:val="space"/>
      <w:lvlText w:val="    第%1条"/>
      <w:lvlJc w:val="left"/>
      <w:pPr>
        <w:tabs>
          <w:tab w:val="left" w:pos="0" w:leader="none"/>
        </w:tabs>
      </w:pPr>
      <w:rPr>
        <w:rFonts w:ascii="宋体" w:hAnsi="宋体"/>
        <w:b w:val="0"/>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06D42D4"/>
    <w:multiLevelType w:val="multilevel"/>
    <w:lvl w:ilvl="0">
      <w:start w:val="1"/>
      <w:numFmt w:val="japaneseCounting"/>
      <w:suff w:val="tab"/>
      <w:lvlText w:val="（%1）"/>
      <w:lvlJc w:val="left"/>
      <w:pPr>
        <w:ind w:hanging="1080" w:left="1712"/>
        <w:tabs>
          <w:tab w:val="left" w:pos="1712" w:leader="none"/>
        </w:tabs>
      </w:pPr>
      <w:rPr/>
    </w:lvl>
    <w:lvl w:ilvl="1">
      <w:start w:val="1"/>
      <w:numFmt w:val="chineseCountingThousand"/>
      <w:suff w:val="tab"/>
      <w:lvlText w:val="第%2章"/>
      <w:lvlJc w:val="left"/>
      <w:pPr>
        <w:ind w:hanging="1260" w:left="2312"/>
        <w:tabs>
          <w:tab w:val="left" w:pos="2312" w:leader="none"/>
        </w:tabs>
      </w:pPr>
      <w:rPr/>
    </w:lvl>
    <w:lvl w:ilvl="2">
      <w:start w:val="1"/>
      <w:numFmt w:val="lowerRoman"/>
      <w:suff w:val="tab"/>
      <w:lvlText w:val="%3."/>
      <w:lvlJc w:val="right"/>
      <w:pPr>
        <w:ind w:hanging="420" w:left="1892"/>
        <w:tabs>
          <w:tab w:val="left" w:pos="1892" w:leader="none"/>
        </w:tabs>
      </w:pPr>
      <w:rPr/>
    </w:lvl>
    <w:lvl w:ilvl="3">
      <w:start w:val="1"/>
      <w:numFmt w:val="decimal"/>
      <w:suff w:val="tab"/>
      <w:lvlText w:val="%4."/>
      <w:lvlJc w:val="left"/>
      <w:pPr>
        <w:ind w:hanging="420" w:left="2312"/>
        <w:tabs>
          <w:tab w:val="left" w:pos="2312" w:leader="none"/>
        </w:tabs>
      </w:pPr>
      <w:rPr/>
    </w:lvl>
    <w:lvl w:ilvl="4">
      <w:start w:val="1"/>
      <w:numFmt w:val="lowerLetter"/>
      <w:suff w:val="tab"/>
      <w:lvlText w:val="%5)"/>
      <w:lvlJc w:val="left"/>
      <w:pPr>
        <w:ind w:hanging="420" w:left="2732"/>
        <w:tabs>
          <w:tab w:val="left" w:pos="2732" w:leader="none"/>
        </w:tabs>
      </w:pPr>
      <w:rPr/>
    </w:lvl>
    <w:lvl w:ilvl="5">
      <w:start w:val="1"/>
      <w:numFmt w:val="lowerRoman"/>
      <w:suff w:val="tab"/>
      <w:lvlText w:val="%6."/>
      <w:lvlJc w:val="right"/>
      <w:pPr>
        <w:ind w:hanging="420" w:left="3152"/>
        <w:tabs>
          <w:tab w:val="left" w:pos="3152" w:leader="none"/>
        </w:tabs>
      </w:pPr>
      <w:rPr/>
    </w:lvl>
    <w:lvl w:ilvl="6">
      <w:start w:val="1"/>
      <w:numFmt w:val="decimal"/>
      <w:suff w:val="tab"/>
      <w:lvlText w:val="%7."/>
      <w:lvlJc w:val="left"/>
      <w:pPr>
        <w:ind w:hanging="420" w:left="3572"/>
        <w:tabs>
          <w:tab w:val="left" w:pos="3572" w:leader="none"/>
        </w:tabs>
      </w:pPr>
      <w:rPr/>
    </w:lvl>
    <w:lvl w:ilvl="7">
      <w:start w:val="1"/>
      <w:numFmt w:val="lowerLetter"/>
      <w:suff w:val="tab"/>
      <w:lvlText w:val="%8)"/>
      <w:lvlJc w:val="left"/>
      <w:pPr>
        <w:ind w:hanging="420" w:left="3992"/>
        <w:tabs>
          <w:tab w:val="left" w:pos="3992" w:leader="none"/>
        </w:tabs>
      </w:pPr>
      <w:rPr/>
    </w:lvl>
    <w:lvl w:ilvl="8">
      <w:start w:val="1"/>
      <w:numFmt w:val="lowerRoman"/>
      <w:suff w:val="tab"/>
      <w:lvlText w:val="%9."/>
      <w:lvlJc w:val="right"/>
      <w:pPr>
        <w:ind w:hanging="420" w:left="4412"/>
        <w:tabs>
          <w:tab w:val="left" w:pos="4412"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2"/>
    <w:basedOn w:val="P1"/>
    <w:next w:val="P1"/>
    <w:qFormat/>
    <w:pPr>
      <w:keepNext w:val="1"/>
      <w:keepLines w:val="1"/>
      <w:spacing w:lineRule="auto" w:line="240" w:before="100" w:after="100" w:beforeAutospacing="0" w:afterAutospacing="0"/>
      <w:ind w:firstLine="0"/>
      <w:jc w:val="center"/>
      <w:outlineLvl w:val="1"/>
    </w:pPr>
    <w:rPr>
      <w:rFonts w:ascii="Arial" w:hAnsi="Arial"/>
    </w:rPr>
  </w:style>
  <w:style w:type="paragraph" w:styleId="P3">
    <w:name w:val="批注框文本"/>
    <w:basedOn w:val="P1"/>
    <w:next w:val="P3"/>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纯文本"/>
    <w:basedOn w:val="P1"/>
    <w:next w:val="P6"/>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字符"/>
    <w:link w:val="P4"/>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dym</dc:creator>
  <dcterms:created xsi:type="dcterms:W3CDTF">2016-11-17T03:13:00Z</dcterms:created>
  <cp:lastModifiedBy>f1TZOF\f1TZOF-</cp:lastModifiedBy>
  <cp:lastPrinted>2019-03-24T02:05:00Z</cp:lastPrinted>
  <dcterms:modified xsi:type="dcterms:W3CDTF">2024-08-28T01:34:46Z</dcterms:modified>
  <cp:revision>2</cp:revision>
  <dc:title>忻州市滹沱河流域生态修复与保护条例（草案）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2052-10.1.0.7698</vt:lpwstr>
  </property>
</Properties>
</file>