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DE3FEE" Type="http://schemas.openxmlformats.org/officeDocument/2006/relationships/officeDocument" Target="/word/document.xml" /><Relationship Id="coreR1FDE3FEE" Type="http://schemas.openxmlformats.org/package/2006/relationships/metadata/core-properties" Target="/docProps/core.xml" /><Relationship Id="customR1FDE3F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631" w:left="0" w:right="0"/>
        <w:jc w:val="both"/>
        <w:rPr>
          <w:rStyle w:val="C3"/>
          <w:rFonts w:ascii="仿宋_GB2312" w:hAnsi="仿宋_GB2312"/>
          <w:sz w:val="32"/>
        </w:rPr>
      </w:pPr>
    </w:p>
    <w:p>
      <w:pPr>
        <w:pStyle w:val="P1"/>
        <w:keepNext w:val="0"/>
        <w:keepLines w:val="0"/>
        <w:widowControl w:val="0"/>
        <w:spacing w:lineRule="exact" w:line="560"/>
        <w:ind w:firstLine="631"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河南省气象条例</w:t>
      </w:r>
    </w:p>
    <w:p>
      <w:pPr>
        <w:pStyle w:val="P1"/>
        <w:keepNext w:val="0"/>
        <w:keepLines w:val="0"/>
        <w:widowControl w:val="0"/>
        <w:spacing w:lineRule="auto" w:line="240"/>
        <w:ind w:firstLine="0" w:left="0" w:right="0"/>
        <w:jc w:val="both"/>
        <w:rPr>
          <w:rStyle w:val="C3"/>
          <w:rFonts w:ascii="宋体" w:hAnsi="宋体"/>
          <w:sz w:val="44"/>
        </w:rPr>
      </w:pPr>
    </w:p>
    <w:p>
      <w:pPr>
        <w:pStyle w:val="P1"/>
        <w:keepNext w:val="0"/>
        <w:keepLines w:val="0"/>
        <w:widowControl w:val="0"/>
        <w:spacing w:lineRule="auto" w:line="240"/>
        <w:ind w:firstLine="631"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日河南省第九届人民代表大会常务委员会第二十一次会议通过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日河南省第十届人民代表大会常务委员会第十二次会议《关于修改〈河南省气象条例〉的决定》第一次修正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日河南省第十三届人民代表大会常务委员会第二十四次会议《关于修改〈河南省气象条例〉〈河南省实施中华人民共和国水土保持法办法〉的决定》第二次修正）</w:t>
      </w:r>
    </w:p>
    <w:p>
      <w:pPr>
        <w:pStyle w:val="P1"/>
        <w:keepNext w:val="0"/>
        <w:keepLines w:val="0"/>
        <w:widowControl w:val="0"/>
        <w:spacing w:lineRule="auto" w:line="240"/>
        <w:ind w:firstLine="631" w:left="0" w:right="0"/>
        <w:jc w:val="both"/>
        <w:rPr>
          <w:rStyle w:val="C3"/>
          <w:rFonts w:ascii="楷体_GB2312" w:hAnsi="楷体_GB2312"/>
          <w:sz w:val="32"/>
        </w:rPr>
      </w:pPr>
    </w:p>
    <w:p>
      <w:pPr>
        <w:pStyle w:val="P1"/>
        <w:keepNext w:val="0"/>
        <w:keepLines w:val="0"/>
        <w:widowControl w:val="0"/>
        <w:spacing w:lineRule="auto" w:line="240"/>
        <w:ind w:firstLine="631"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31" w:left="0" w:right="0"/>
        <w:jc w:val="both"/>
        <w:rPr>
          <w:rStyle w:val="C3"/>
          <w:rFonts w:ascii="楷体_GB2312" w:hAnsi="楷体_GB2312"/>
          <w:sz w:val="32"/>
        </w:rPr>
      </w:pP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地方气象事业</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气象设施与探测环境保护</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气象预报、警报与气象灾害防御</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人工影响天气</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气象行业管理</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numPr>
          <w:ilvl w:val="0"/>
          <w:numId w:val="1"/>
        </w:numPr>
        <w:spacing w:lineRule="auto" w:line="240"/>
        <w:ind w:firstLine="0" w:left="0" w:right="0"/>
        <w:jc w:val="center"/>
        <w:rPr>
          <w:rStyle w:val="C3"/>
          <w:rFonts w:ascii="黑体" w:hAnsi="黑体"/>
          <w:sz w:val="32"/>
        </w:rPr>
      </w:pPr>
      <w:r>
        <w:rPr>
          <w:rStyle w:val="C3"/>
          <w:rFonts w:ascii="黑体" w:hAnsi="黑体"/>
          <w:sz w:val="32"/>
        </w:rPr>
        <w:t>总则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根据《中华人民共和国气象法》和国家有关规定，结合我省实际，制定本条例。</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在本省行政区域内从事气象探测、预报、服务和气象灾害防御、气候资源利用、气象科学技术研究等活动，应当遵守气象法律、行政法规和本条例。</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气象工作的领导和协调，把气象事业纳入当地国民经济和社会发展计划及财政预算，逐步建立健全防御和减轻气象灾害的服务体系，以保障气象事业充分发挥为社会公众、政府决策和经济发展服务的功能。</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各级气象主管机构在上级气象主管机构和本级人民政府的领导下，负责本行政区域内的气象工作，承担气象工作的行政管理职能。</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第二章  地方气象事业</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县级以上人民政府应当根据需要发展地方气象事业。</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各级气象主管机构在承担国家气象事业任务的同时，应当坚持地方气象事业与国家气象事业共同发展的原则，做好地方气象事业工作。</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地方气象事业项目主要包括：</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（一）为当地经济建设和防灾减灾服务的大气探测、气候监测、气象通信、气象卫星遥感、气象灾害预警、森林火险等级预测预报、天气预报制作与发布等项目；</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（二）农业气象情报、农作物产量气象预测、农业气象灾害防御技术的推广应用，以及农村气象科技服务体系建设；</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（三）人工影响天气、雷电灾害防御、气候资源开发利用和城市环境气象服务；</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（四）气象科学研究、气象科学知识宣传教育及其他气象服务项目。</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发展地方气象事业所需基本建设投资、事业经费、专项经费等，应当列入同级人民政府财政预算，并按照国家有关规定逐年增加投入。</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县级以上人民政府应当关心和改善气象职工工作、生活条件，支持贫困地区、滞洪区、山区等艰苦地区气象台站的建设和运行。</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县级以上人民政府对在气象工作中做出显著成绩的单位和个人，应当给予表彰和奖励。</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第三章  气象设施与探测环境保护</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各级气象主管机构应当加强气象设施的规划建设，并依法保护气象设施。</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气象设施因不可抗力遭受破坏时，气象主管机构应及时报告当地人民政府，由当地人民政府采取紧急措施，组织力量修复，确保气象设施正常运行。</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各级人民政府应当依法保护气象探测环境，支持气象主管机构依法制止各种危害气象探测环境的行为。任何组织和个人都有保护气象探测环境的义务。</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气象台站站址应当保持长期稳定，任何单位或者个人不得擅自迁移气象台站。</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在纳入城市（镇）控制性详细规划后，按照先建站后迁移的原则进行迁移。</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申请迁移大气本底站、国家基准气候站、国家基本气象站的，由省气象主管机构签署意见并报送国务院气象主管机构审批；申请迁移其他气象台站的，由省气象主管机构审批，并报送国务院气象主管机构备案。</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气象台站迁移、建设费用由建设单位承担。</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县级以上人民政府应当按照国务院气象主管机构确定的气象探测环境保护标准，划定当地各类气象台站气象探测环境的具体保护范围，纳入城市和村镇规划，并竖桩立界，实行分类分级保护。</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在气象探测环境保护范围内，新建、扩建、改建建设项目必须事先征得省气象主管机构同意，并采取相应措施后，方可建设。</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气象台站现有探测环境不符合规定标准的，经省气象主管机构认定后，由当地人民政府负责改善或建设新的气象探测场地。</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第四章  气象预报、警报与气象灾害防御</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公众气象预报和灾害性天气警报依法实行统一发布制度。除气象主管机构所属气象台站按照职责发布公众气象预报和灾害性天气警报外，其他任何组织或者个人不得向社会发布公众气象预报和灾害性天气警报。</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各级气象主管机构所属的气象台站应当根据需要，加强农业、城市环境、火险等级等专业气象的探测和预报，做好特殊需求的气象预报工作。</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各级广播、电视台站和当地人民政府指定的报纸应当安排专门的时间或者版面，每天播发或刊登公众气象预报或者灾害性天气警报。</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广播、电视、报纸、电信、计算机网络等媒体向社会传播气象信息，必须使用当地气象主管机构所属的气象台站直接提供的适时气象信息，注明发布台站的名称和时间，并不得改变气象信息内容。通过传播气象信息获得的收益，应当按照国家规定提取一部分支持气象事业发展。</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加强气象灾害监测、预警系统建设，组织有关部门编制气象灾害防御规划，制定防御方案，并根据气象主管机构提供的气象信息，组织和指挥有关单位和个人，按照防御方案，采取有效措施，避免或者减轻气象灾害。</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气象主管机构应当建立雨情、墒情和气象灾害监测网络，组织对重大灾害性天气的跨地区、跨部门的联合监测、预报工作，及时提出气象灾害防御措施，并对重大气象灾害做出评估，为本级人民政府组织防御气象灾害提供决策依据。</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各级气象主管机构所属的气象台站应当加强对可能影响当地的暴雨、暴雪、干旱、雷电、寒潮、大风、大雾、沙尘暴、霜冻、冰雹等灾害性天气的监测和预报，并及时报告上级气象主管机构。</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其他有关部门所属的气象台站及与灾害性天气监测、预报有关的单位，应当及时向当地气象主管机构提供监测、预报灾害性天气所需要的气象探测和有关的水情等监测信息。</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各级气象主管机构应当加强本行政区域内的雷电灾害防御工作的组织管理和雷电灾害预警系统的建设，提高雷电灾害预警和防雷减灾服务能力。</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高层建筑、电力设施、计算机设备和网络系统、易燃易爆物资仓储场所，以及其他需要防雷的建筑物、构筑物和设施，必须按照国家和本省有关防雷技术要求采取防雷措施。防雷装置实行定期检测制度。各级气象主管机构会同有关部门指导对可能遭受雷击的建筑物、构筑物和其他设施安装的雷电灾害防护装置的检测工作。</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从事防雷装置检测的单位，应当取得国务院气象主管机构或者省气象主管机构颁发的资质证。</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新建、改建、扩建建设工程雷电防护装置的设计、施工，可以由取得相应建设、公路、水路、铁路、民航、水利、电力、核电、通信等专业工程设计、施工资质的单位承担。</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防雷装置的设计审核、施工监督、竣工验收，依照国家有关规定执行。</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雷电灾害调查工作由各级气象主管机构负责。具体办法按国务院气象主管机构的规定执行。</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第五章  人工影响天气</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县级以上人民政府应当加强对人工影响天气工作的领导，根据实际情况有组织、有计划地开展人工影响天气工作，并保证所需经费。</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各级气象主管机构在本级人民政府的领导和协调下，负责人工影响天气的日常管理工作。</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气象主管机构应当按照国家有关规定，编制全省人工影响天气工作规划和计划；制定管理规章制度；组织、管理全省人工影响天气重大工程建设、科学实验、技术开发及装备供应；组织指导技术培训；审定人工影响天气作业组织的资质条件；组织、实施全省人工影响天气作业。</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市、县（市）气象主管机构应当按照职责分工，制定当地人工影响天气实施方案；执行人工影响天气的规范和标准；管理、组织人工影响天气作业。</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各级气象台站应当做好人工影响天气作业所需的各项气象保障工作。</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民航、公安等部门和有关军事机关应当在职责范围内积极配合气象主管机构，保障人工影响天气作业顺利实施。</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对人工影响天气所需有关资料，农业、水利、林业等部门应当及时提供。</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进行人工影响天气作业和实验，必须向当地空域管制部门履行申报手续，经批准后方可实施。</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实施人工影响天气作业和实验，应当遵守操作规程，确保安全。</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第六章  气象行业管理</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各级气象主管机构负责气象行业管理，通过规划、指导、监督、协调、服务，促进气象事业发展。</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凡在本行政区域内进行的气象业务服务活动，应当执行气象技术标准、技术规范和技术规程。进行气象探测所获得的原始资料必须在探测活动结束后九十日内移交当地气象主管机构，实施探测单位可以使用该资料，但不得对外公布或者转让。</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各级气象主管机构应当按照气象资料共享、共用的原则，与其他从事气象工作的机构交换有关气象信息资料。</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气象计量器具必须经法定气象计量检定机构依法检定。禁止使用未经检定、检定不合格或超过检定有效期的气象计量器具。</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与气候条件密切相关的城乡规划、重点领域或者区域发展建设规划，重大基础设施、公共工程和大型工程建设项目，重大区域性经济开发、区域农（牧）业结构调整建设项目，大型太阳能、风能等气候资源开发利用建设项目应当进行气候可行性论证。</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建设项目大气环境影响评价使用的气象探测资料应当使用符合国家气象技术标准的气象资料。</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从事升放无人驾驶自由气球、系留气球的单位，应当经省或省辖市气象主管机构进行资质认定。</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从事升放无人驾驶自由气球、系留气球的单位和个人，应当执行国务院气象主管机构规定的技术规范，具体管理办法按国家有关规定执行。</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各级气象主管机构应当监督气象台站在确保公益性气象服务的前提下，根据用户需求依法开展气象有偿服务。气象有偿服务的范围、项目、收费等具体管理办法，按照国务院有关规定执行。</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违反气象法律、行政法规和本条例的行为，气象法律、行政法规有处罚规定的，由有关气象主管机构或者法律、行政法规规定的部门依法予以处罚。</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违反本条例有下列行为之一的，由气象主管机构责令限期改正；拒不改正的，按照下列规定给予处罚；给他人造成损失的，依法承担赔偿责任；构成犯罪的，依法追究刑事责任：</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（一）拒不接受对防雷装置依法进行的定期检测的，给予警告，可以并处一千元罚款；</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（二）从事防雷装置检测的单位未取得资质证书或者超出资质证书核定的范围从事防雷装置检测的，没收违法所得，并处五千元以上一万元以下的罚款；</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（三）违反本条例第三十条第一款规定的，给予警告，可以并处一千元以上三千元以下的罚款。</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气象主管机构及其所属气象台站的工作人员有下列行为之一的，依法给予行政处分；致使国家利益和人民生命财产遭受重大损失，构成犯罪的，依法追究刑事责任：</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（一）由于玩忽职守，导致重大漏报、错报公众气象预报、灾害性天气警报以及丢失或者毁坏原始气象探测资料、伪造气象资料等事故的；</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（二）依法应当办理的事项，不按照规定办理的；</w:t>
      </w:r>
      <w:r>
        <w:rPr>
          <w:rStyle w:val="C3"/>
          <w:rFonts w:ascii="Segoe UI Symbol" w:hAnsi="Segoe UI Symbol"/>
          <w:sz w:val="32"/>
        </w:rPr>
        <w:t></w:t>
      </w:r>
    </w:p>
    <w:p>
      <w:pPr>
        <w:pStyle w:val="P1"/>
        <w:keepNext w:val="0"/>
        <w:keepLines w:val="0"/>
        <w:widowControl w:val="0"/>
        <w:spacing w:lineRule="auto" w:line="24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（三）不依法履行职责，致使气象设施和探测环境遭受破坏的。</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auto" w:line="240"/>
        <w:ind w:firstLine="0" w:left="0" w:right="0"/>
        <w:jc w:val="both"/>
        <w:rPr>
          <w:rStyle w:val="C3"/>
          <w:rFonts w:ascii="仿宋_GB2312" w:hAnsi="仿宋_GB2312"/>
          <w:sz w:val="32"/>
        </w:rPr>
      </w:pPr>
    </w:p>
    <w:p>
      <w:pPr>
        <w:pStyle w:val="P1"/>
        <w:keepNext w:val="0"/>
        <w:keepLines w:val="0"/>
        <w:widowControl w:val="0"/>
        <w:spacing w:lineRule="auto" w:line="240"/>
        <w:ind w:firstLine="631"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Segoe UI Symbol" w:hAnsi="Segoe UI Symbol"/>
          <w:sz w:val="32"/>
        </w:rPr>
        <w:t></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w:abstractNum w:abstractNumId="0">
    <w:nsid w:val="60C2D56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2052-11.1.0.10577</vt:lpwstr>
  </property>
  <property fmtid="{D5CDD505-2E9C-101B-9397-08002B2CF9AE}" pid="3" name="ICV">
    <vt:lpwstr>A98F236EC6BA4147874D00CBEAE77457</vt:lpwstr>
  </property>
</Properties>
</file>