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4325A1" Type="http://schemas.openxmlformats.org/officeDocument/2006/relationships/officeDocument" Target="/word/document.xml" /><Relationship Id="coreR254325A1" Type="http://schemas.openxmlformats.org/package/2006/relationships/metadata/core-properties" Target="/docProps/core.xml" /><Relationship Id="customR254325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color w:val="000000"/>
          <w:sz w:val="44"/>
        </w:rPr>
      </w:pPr>
      <w:r>
        <w:rPr>
          <w:rStyle w:val="C3"/>
          <w:rFonts w:ascii="宋体" w:hAnsi="宋体"/>
          <w:b w:val="1"/>
          <w:color w:val="000000"/>
          <w:sz w:val="44"/>
        </w:rPr>
        <w:t>长春市城市房屋安全管理条例</w:t>
      </w:r>
    </w:p>
    <w:p>
      <w:pPr>
        <w:pStyle w:val="P1"/>
        <w:jc w:val="center"/>
        <w:rPr>
          <w:rStyle w:val="C3"/>
          <w:rFonts w:ascii="宋体" w:hAnsi="宋体"/>
          <w:b w:val="1"/>
          <w:color w:val="000000"/>
          <w:sz w:val="44"/>
        </w:rPr>
      </w:pPr>
    </w:p>
    <w:p>
      <w:pPr>
        <w:pStyle w:val="P1"/>
        <w:jc w:val="left"/>
        <w:rPr>
          <w:rStyle w:val="C3"/>
          <w:rFonts w:ascii="楷体_GB2312" w:hAnsi="楷体_GB2312"/>
          <w:color w:val="000000"/>
          <w:sz w:val="20"/>
        </w:rPr>
      </w:pPr>
      <w:r>
        <w:rPr>
          <w:rStyle w:val="C3"/>
          <w:rFonts w:ascii="Microsoft YaHei UI" w:hAnsi="Microsoft YaHei UI"/>
          <w:color w:val="000000"/>
          <w:sz w:val="32"/>
        </w:rPr>
        <w:t>（</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日长春市第十二届人民代表大会常务委员会第二十八次会议通过　</w:t>
      </w:r>
      <w:r>
        <w:rPr>
          <w:rStyle w:val="C3"/>
          <w:rFonts w:ascii="楷体_GB2312" w:hAnsi="楷体_GB2312"/>
          <w:color w:val="000000"/>
          <w:sz w:val="32"/>
        </w:rPr>
        <w:t>2007</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日吉林省第十届人民代表大会常务委员会第三十二次会议批准　根据</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日长春市第十四届人民代表大会常务委员会第十七次会议通过　</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日吉林省第十二届人民代表大会常务委员会第十八次会议批准的《长春市人民代表大会常务委员会关于废止和修改部分地方性法规的决定》修正</w:t>
      </w:r>
      <w:r>
        <w:rPr>
          <w:rStyle w:val="C3"/>
          <w:rFonts w:ascii="楷体_GB2312" w:hAnsi="楷体_GB2312"/>
          <w:color w:val="000000"/>
          <w:sz w:val="32"/>
        </w:rPr>
        <w:t xml:space="preserve">  2018</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日长春市第十五届人民代表大会常务委员会第十六次会议修订</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日吉林省第十三届人民代表大会常务委员会第十次会议批准）</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为了加强城市房屋安全管理，保障房屋使用安全，维护公共安全和公众利益</w:t>
      </w:r>
      <w:r>
        <w:rPr>
          <w:rStyle w:val="C3"/>
          <w:rFonts w:ascii="仿宋_GB2312" w:hAnsi="仿宋_GB2312"/>
          <w:sz w:val="32"/>
        </w:rPr>
        <w:t>,</w:t>
      </w:r>
      <w:r>
        <w:rPr>
          <w:rStyle w:val="C3"/>
          <w:rFonts w:ascii="Microsoft YaHei UI" w:hAnsi="Microsoft YaHei UI"/>
          <w:sz w:val="32"/>
        </w:rPr>
        <w:t>根据有关法律、法规，结合本市实际，制定本条例。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本条例适用于本市市区内国有土地上依法交付使用的房屋安全管理。</w:t>
      </w:r>
    </w:p>
    <w:p>
      <w:pPr>
        <w:pStyle w:val="P1"/>
        <w:ind w:firstLine="640"/>
        <w:rPr>
          <w:rStyle w:val="C3"/>
          <w:rFonts w:ascii="仿宋_GB2312" w:hAnsi="仿宋_GB2312"/>
          <w:sz w:val="32"/>
        </w:rPr>
      </w:pPr>
      <w:r>
        <w:rPr>
          <w:rStyle w:val="C3"/>
          <w:rFonts w:ascii="Microsoft YaHei UI" w:hAnsi="Microsoft YaHei UI"/>
          <w:sz w:val="32"/>
        </w:rPr>
        <w:t>房屋消防安全管理和电梯、燃气、电力、供水、通信等专业设施设备以及军队房屋的安全管理，依照有关法律、法规的规定执行。</w:t>
      </w:r>
    </w:p>
    <w:p>
      <w:pPr>
        <w:pStyle w:val="P1"/>
        <w:ind w:firstLine="640"/>
        <w:rPr>
          <w:rStyle w:val="C3"/>
          <w:rFonts w:ascii="仿宋_GB2312" w:hAnsi="仿宋_GB2312"/>
          <w:sz w:val="32"/>
        </w:rPr>
      </w:pPr>
      <w:r>
        <w:rPr>
          <w:rStyle w:val="C3"/>
          <w:rFonts w:ascii="Microsoft YaHei UI" w:hAnsi="Microsoft YaHei UI"/>
          <w:sz w:val="32"/>
        </w:rPr>
        <w:t>法律、法规对宗教团体、文物保护单位的房屋以及历史建筑的安全管理另有规定的，从其规定。</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房屋安全管理应当遵循防治结合、预防为主、确保安全的原则。</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市人民政府应当建立健全房屋安全管理的工作机制，协调和监督房屋安全管理工作。</w:t>
      </w:r>
    </w:p>
    <w:p>
      <w:pPr>
        <w:pStyle w:val="P1"/>
        <w:ind w:firstLine="640"/>
        <w:rPr>
          <w:rStyle w:val="C3"/>
          <w:rFonts w:ascii="仿宋_GB2312" w:hAnsi="仿宋_GB2312"/>
          <w:sz w:val="32"/>
        </w:rPr>
      </w:pPr>
      <w:r>
        <w:rPr>
          <w:rStyle w:val="C3"/>
          <w:rFonts w:ascii="Microsoft YaHei UI" w:hAnsi="Microsoft YaHei UI"/>
          <w:sz w:val="32"/>
        </w:rPr>
        <w:t>区人民政府负责本行政区域内房屋安全管理工作的组织领导和综合协调，建立房屋安全网格化监管制度和应急预案，明确责任追究机制，组织应对房屋安全突发事件，保障经费投入。</w:t>
      </w:r>
    </w:p>
    <w:p>
      <w:pPr>
        <w:pStyle w:val="P1"/>
        <w:ind w:firstLine="640"/>
        <w:rPr>
          <w:rStyle w:val="C3"/>
          <w:rFonts w:ascii="仿宋_GB2312" w:hAnsi="仿宋_GB2312"/>
          <w:sz w:val="32"/>
        </w:rPr>
      </w:pPr>
      <w:r>
        <w:rPr>
          <w:rStyle w:val="C3"/>
          <w:rFonts w:ascii="Microsoft YaHei UI" w:hAnsi="Microsoft YaHei UI"/>
          <w:sz w:val="32"/>
        </w:rPr>
        <w:t>开发区管理机构应当按照市人民政府规定的职责，做好区域内房屋安全管理工作。</w:t>
      </w:r>
    </w:p>
    <w:p>
      <w:pPr>
        <w:pStyle w:val="P1"/>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人民政府、街道办事处应当落实房屋安全网格化管理制度，完善房屋安全巡查和监测网络，配备房屋安全管理人员，做好辖区内房屋安全的日常工作。</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市住房保障和房屋管理主管部门是本市房屋安全管理的主管部门，负责本市房屋安全工作的指导和监督管理。</w:t>
      </w:r>
    </w:p>
    <w:p>
      <w:pPr>
        <w:pStyle w:val="P1"/>
        <w:ind w:firstLine="640"/>
        <w:rPr>
          <w:rStyle w:val="C3"/>
          <w:rFonts w:ascii="仿宋_GB2312" w:hAnsi="仿宋_GB2312"/>
          <w:sz w:val="32"/>
        </w:rPr>
      </w:pPr>
      <w:r>
        <w:rPr>
          <w:rStyle w:val="C3"/>
          <w:rFonts w:ascii="Microsoft YaHei UI" w:hAnsi="Microsoft YaHei UI"/>
          <w:sz w:val="32"/>
        </w:rPr>
        <w:t>区建设主管部门是本行政区域房屋安全管理的主管部门，负责本行政区域内房屋安全的管理工作。</w:t>
      </w:r>
    </w:p>
    <w:p>
      <w:pPr>
        <w:pStyle w:val="P1"/>
        <w:ind w:firstLine="640"/>
        <w:rPr>
          <w:rStyle w:val="C3"/>
          <w:rFonts w:ascii="仿宋_GB2312" w:hAnsi="仿宋_GB2312"/>
          <w:sz w:val="32"/>
        </w:rPr>
      </w:pPr>
      <w:r>
        <w:rPr>
          <w:rStyle w:val="C3"/>
          <w:rFonts w:ascii="Microsoft YaHei UI" w:hAnsi="Microsoft YaHei UI"/>
          <w:sz w:val="32"/>
        </w:rPr>
        <w:t>城乡建设、规划和自然资源、财政、城市管理、应急管理、公安等有关部门应当按照各自职责，做好房屋安全管理相关工作。</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人民政府和街道办事处应当加强房屋安全知识的宣传，提高社会公众的房屋安全使用意识。</w:t>
      </w:r>
    </w:p>
    <w:p>
      <w:pPr>
        <w:pStyle w:val="P1"/>
        <w:ind w:firstLine="640"/>
        <w:rPr>
          <w:rStyle w:val="C3"/>
          <w:rFonts w:ascii="仿宋_GB2312" w:hAnsi="仿宋_GB2312"/>
          <w:sz w:val="32"/>
        </w:rPr>
      </w:pPr>
      <w:r>
        <w:rPr>
          <w:rStyle w:val="C3"/>
          <w:rFonts w:ascii="Microsoft YaHei UI" w:hAnsi="Microsoft YaHei UI"/>
          <w:sz w:val="32"/>
        </w:rPr>
        <w:t>鼓励社会公众依法组成房屋安全志愿服务组织，参与房屋使用安全巡查、检查等活动，协助做好房屋使用安全宣传、教育和发现、纠正违法行为等工作。</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房屋使用安全管理</w:t>
      </w:r>
    </w:p>
    <w:p>
      <w:pPr>
        <w:pStyle w:val="P1"/>
        <w:jc w:val="center"/>
        <w:rPr>
          <w:rStyle w:val="C3"/>
          <w:rFonts w:ascii="黑体" w:hAnsi="黑体"/>
          <w:sz w:val="32"/>
        </w:rPr>
      </w:pPr>
    </w:p>
    <w:p>
      <w:pPr>
        <w:pStyle w:val="P16"/>
        <w:spacing w:before="0" w:after="0" w:beforeAutospacing="0" w:afterAutospacing="0"/>
        <w:ind w:firstLine="640"/>
        <w:rPr>
          <w:rStyle w:val="C3"/>
          <w:rFonts w:ascii="黑体" w:hAnsi="黑体"/>
          <w:color w:val="111111"/>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房屋所有权人是房屋安全责任人。</w:t>
      </w:r>
    </w:p>
    <w:p>
      <w:pPr>
        <w:pStyle w:val="P1"/>
        <w:ind w:firstLine="640"/>
        <w:rPr>
          <w:rStyle w:val="C3"/>
          <w:rFonts w:ascii="仿宋_GB2312" w:hAnsi="仿宋_GB2312"/>
          <w:sz w:val="32"/>
        </w:rPr>
      </w:pPr>
      <w:r>
        <w:rPr>
          <w:rStyle w:val="C3"/>
          <w:rFonts w:ascii="Microsoft YaHei UI" w:hAnsi="Microsoft YaHei UI"/>
          <w:sz w:val="32"/>
        </w:rPr>
        <w:t>拨用房产的使用人（单位）是拨用房产的房屋安全责任人。</w:t>
      </w:r>
    </w:p>
    <w:p>
      <w:pPr>
        <w:pStyle w:val="P1"/>
        <w:ind w:firstLine="640"/>
        <w:rPr>
          <w:rStyle w:val="C3"/>
          <w:rFonts w:ascii="仿宋_GB2312" w:hAnsi="仿宋_GB2312"/>
          <w:sz w:val="32"/>
        </w:rPr>
      </w:pPr>
      <w:r>
        <w:rPr>
          <w:rStyle w:val="C3"/>
          <w:rFonts w:ascii="Microsoft YaHei UI" w:hAnsi="Microsoft YaHei UI"/>
          <w:sz w:val="32"/>
        </w:rPr>
        <w:t>房屋安全责任人应当按照房屋设计用途合理使用房屋，保证房屋原有的整体性、抗震性和结构安全。</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房屋安全责任人承担下列房屋安全责任：</w:t>
      </w:r>
    </w:p>
    <w:p>
      <w:pPr>
        <w:pStyle w:val="P1"/>
        <w:ind w:firstLine="640"/>
        <w:rPr>
          <w:rStyle w:val="C3"/>
          <w:rFonts w:ascii="仿宋_GB2312" w:hAnsi="仿宋_GB2312"/>
          <w:sz w:val="32"/>
        </w:rPr>
      </w:pPr>
      <w:r>
        <w:rPr>
          <w:rStyle w:val="C3"/>
          <w:rFonts w:ascii="Microsoft YaHei UI" w:hAnsi="Microsoft YaHei UI"/>
          <w:sz w:val="32"/>
        </w:rPr>
        <w:t>（一）对房屋负有安全使用、定期检查维护、委托安全鉴定、及时治理安全隐患并保留相关资料的义务；</w:t>
      </w:r>
    </w:p>
    <w:p>
      <w:pPr>
        <w:pStyle w:val="P1"/>
        <w:ind w:firstLine="640"/>
        <w:rPr>
          <w:rStyle w:val="C3"/>
          <w:rFonts w:ascii="仿宋_GB2312" w:hAnsi="仿宋_GB2312"/>
          <w:sz w:val="32"/>
        </w:rPr>
      </w:pPr>
      <w:r>
        <w:rPr>
          <w:rStyle w:val="C3"/>
          <w:rFonts w:ascii="Microsoft YaHei UI" w:hAnsi="Microsoft YaHei UI"/>
          <w:sz w:val="32"/>
        </w:rPr>
        <w:t>（二）对因房屋使用安全事故造成的人身、财产损害依法承担赔偿责任；</w:t>
      </w:r>
    </w:p>
    <w:p>
      <w:pPr>
        <w:pStyle w:val="P1"/>
        <w:ind w:firstLine="640"/>
        <w:rPr>
          <w:rStyle w:val="C3"/>
          <w:rFonts w:ascii="仿宋_GB2312" w:hAnsi="仿宋_GB2312"/>
          <w:sz w:val="32"/>
        </w:rPr>
      </w:pPr>
      <w:r>
        <w:rPr>
          <w:rStyle w:val="C3"/>
          <w:rFonts w:ascii="Microsoft YaHei UI" w:hAnsi="Microsoft YaHei UI"/>
          <w:sz w:val="32"/>
        </w:rPr>
        <w:t>（三）配合做好房屋安全调查；</w:t>
      </w:r>
    </w:p>
    <w:p>
      <w:pPr>
        <w:pStyle w:val="P1"/>
        <w:ind w:firstLine="640"/>
        <w:rPr>
          <w:rStyle w:val="C3"/>
          <w:rFonts w:ascii="仿宋_GB2312" w:hAnsi="仿宋_GB2312"/>
          <w:sz w:val="32"/>
        </w:rPr>
      </w:pPr>
      <w:r>
        <w:rPr>
          <w:rStyle w:val="C3"/>
          <w:rFonts w:ascii="Microsoft YaHei UI" w:hAnsi="Microsoft YaHei UI"/>
          <w:sz w:val="32"/>
        </w:rPr>
        <w:t>（四）采取人员转移、防汛、防灾等应急抢险措施，以及设置危房标志；</w:t>
      </w:r>
    </w:p>
    <w:p>
      <w:pPr>
        <w:pStyle w:val="P1"/>
        <w:ind w:firstLine="640"/>
        <w:rPr>
          <w:rStyle w:val="C3"/>
          <w:rFonts w:ascii="仿宋_GB2312" w:hAnsi="仿宋_GB2312"/>
          <w:sz w:val="32"/>
        </w:rPr>
      </w:pPr>
      <w:r>
        <w:rPr>
          <w:rStyle w:val="C3"/>
          <w:rFonts w:ascii="Microsoft YaHei UI" w:hAnsi="Microsoft YaHei UI"/>
          <w:sz w:val="32"/>
        </w:rPr>
        <w:t>（五）对危险房屋及时采取处理措施；</w:t>
      </w:r>
    </w:p>
    <w:p>
      <w:pPr>
        <w:pStyle w:val="P1"/>
        <w:ind w:firstLine="640"/>
        <w:rPr>
          <w:rStyle w:val="C3"/>
          <w:rFonts w:ascii="仿宋_GB2312" w:hAnsi="仿宋_GB2312"/>
          <w:sz w:val="32"/>
        </w:rPr>
      </w:pPr>
      <w:r>
        <w:rPr>
          <w:rStyle w:val="C3"/>
          <w:rFonts w:ascii="Microsoft YaHei UI" w:hAnsi="Microsoft YaHei UI"/>
          <w:sz w:val="32"/>
        </w:rPr>
        <w:t>（六）法律、法规规定的其他责任。</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禁止实施下列危害房屋结构安全的行为：</w:t>
      </w:r>
    </w:p>
    <w:p>
      <w:pPr>
        <w:pStyle w:val="P1"/>
        <w:ind w:firstLine="640"/>
        <w:rPr>
          <w:rStyle w:val="C3"/>
          <w:rFonts w:ascii="仿宋_GB2312" w:hAnsi="仿宋_GB2312"/>
          <w:sz w:val="32"/>
        </w:rPr>
      </w:pPr>
      <w:r>
        <w:rPr>
          <w:rStyle w:val="C3"/>
          <w:rFonts w:ascii="Microsoft YaHei UI" w:hAnsi="Microsoft YaHei UI"/>
          <w:sz w:val="32"/>
        </w:rPr>
        <w:t>（一）拆改房屋承重墙、剪力墙、梁、柱、楼板、基础结构等；</w:t>
      </w:r>
    </w:p>
    <w:p>
      <w:pPr>
        <w:pStyle w:val="P1"/>
        <w:ind w:firstLine="640"/>
        <w:rPr>
          <w:rStyle w:val="C3"/>
          <w:rFonts w:ascii="仿宋_GB2312" w:hAnsi="仿宋_GB2312"/>
          <w:sz w:val="32"/>
        </w:rPr>
      </w:pPr>
      <w:r>
        <w:rPr>
          <w:rStyle w:val="C3"/>
          <w:rFonts w:ascii="Microsoft YaHei UI" w:hAnsi="Microsoft YaHei UI"/>
          <w:sz w:val="32"/>
        </w:rPr>
        <w:t>（二）在承重墙上开挖门、窗或者改变承重墙上原有的门、窗尺寸；</w:t>
      </w:r>
    </w:p>
    <w:p>
      <w:pPr>
        <w:pStyle w:val="P1"/>
        <w:ind w:firstLine="640"/>
        <w:rPr>
          <w:rStyle w:val="C3"/>
          <w:rFonts w:ascii="仿宋_GB2312" w:hAnsi="仿宋_GB2312"/>
          <w:sz w:val="32"/>
        </w:rPr>
      </w:pPr>
      <w:r>
        <w:rPr>
          <w:rStyle w:val="C3"/>
          <w:rFonts w:ascii="Microsoft YaHei UI" w:hAnsi="Microsoft YaHei UI"/>
          <w:sz w:val="32"/>
        </w:rPr>
        <w:t>（三）超过设计标准增加房屋使用荷载；</w:t>
      </w:r>
    </w:p>
    <w:p>
      <w:pPr>
        <w:pStyle w:val="P1"/>
        <w:ind w:firstLine="640"/>
        <w:rPr>
          <w:rStyle w:val="C3"/>
          <w:rFonts w:ascii="仿宋_GB2312" w:hAnsi="仿宋_GB2312"/>
          <w:sz w:val="32"/>
        </w:rPr>
      </w:pPr>
      <w:r>
        <w:rPr>
          <w:rStyle w:val="C3"/>
          <w:rFonts w:ascii="Microsoft YaHei UI" w:hAnsi="Microsoft YaHei UI"/>
          <w:sz w:val="32"/>
        </w:rPr>
        <w:t>（四）在房屋楼面结构层开凿或者扩大洞口；</w:t>
      </w:r>
    </w:p>
    <w:p>
      <w:pPr>
        <w:pStyle w:val="P1"/>
        <w:spacing w:lineRule="exact" w:line="560"/>
        <w:ind w:firstLine="640"/>
        <w:rPr>
          <w:rStyle w:val="C3"/>
          <w:rFonts w:ascii="仿宋_GB2312" w:hAnsi="仿宋_GB2312"/>
          <w:sz w:val="32"/>
        </w:rPr>
      </w:pPr>
      <w:r>
        <w:rPr>
          <w:rStyle w:val="C3"/>
          <w:rFonts w:ascii="Microsoft YaHei UI" w:hAnsi="Microsoft YaHei UI"/>
          <w:sz w:val="32"/>
        </w:rPr>
        <w:t>（五）挖建地下室或者降低房屋地坪标高；</w:t>
      </w:r>
    </w:p>
    <w:p>
      <w:pPr>
        <w:pStyle w:val="P1"/>
        <w:spacing w:lineRule="exact" w:line="560"/>
        <w:ind w:firstLine="640"/>
        <w:rPr>
          <w:rStyle w:val="C3"/>
          <w:rFonts w:ascii="仿宋_GB2312" w:hAnsi="仿宋_GB2312"/>
          <w:sz w:val="32"/>
        </w:rPr>
      </w:pPr>
      <w:r>
        <w:rPr>
          <w:rStyle w:val="C3"/>
          <w:rFonts w:ascii="Microsoft YaHei UI" w:hAnsi="Microsoft YaHei UI"/>
          <w:sz w:val="32"/>
        </w:rPr>
        <w:t>（六）在房屋顶面上加层建房搭棚；</w:t>
      </w:r>
    </w:p>
    <w:p>
      <w:pPr>
        <w:pStyle w:val="P1"/>
        <w:spacing w:lineRule="exact" w:line="560"/>
        <w:ind w:firstLine="640"/>
        <w:rPr>
          <w:rStyle w:val="C3"/>
          <w:rFonts w:ascii="仿宋_GB2312" w:hAnsi="仿宋_GB2312"/>
          <w:sz w:val="32"/>
        </w:rPr>
      </w:pPr>
      <w:r>
        <w:rPr>
          <w:rStyle w:val="C3"/>
          <w:rFonts w:ascii="Microsoft YaHei UI" w:hAnsi="Microsoft YaHei UI"/>
          <w:sz w:val="32"/>
        </w:rPr>
        <w:t>（七）其他危害房屋结构安全的行为。</w:t>
      </w:r>
    </w:p>
    <w:p>
      <w:pPr>
        <w:pStyle w:val="P1"/>
        <w:ind w:firstLine="640"/>
        <w:rPr>
          <w:rStyle w:val="C3"/>
          <w:rFonts w:ascii="仿宋_GB2312" w:hAnsi="仿宋_GB2312"/>
          <w:sz w:val="32"/>
        </w:rPr>
      </w:pPr>
      <w:r>
        <w:rPr>
          <w:rStyle w:val="C3"/>
          <w:rFonts w:ascii="方正姚体" w:hAnsi="方正姚体"/>
          <w:sz w:val="32"/>
        </w:rPr>
        <w:t>第十条</w:t>
      </w:r>
      <w:r>
        <w:rPr>
          <w:rStyle w:val="C3"/>
          <w:sz w:val="32"/>
        </w:rPr>
        <w:t xml:space="preserve">  </w:t>
      </w:r>
      <w:r>
        <w:rPr>
          <w:rStyle w:val="C3"/>
          <w:rFonts w:ascii="Microsoft YaHei UI" w:hAnsi="Microsoft YaHei UI"/>
          <w:sz w:val="32"/>
        </w:rPr>
        <w:t>区房屋安全主管部门应当定期组织相关部门对教育、卫生、体育、文化、交通、商贸服务等公共场所的房屋安全进行检查，对存在安全隐患的房屋，责令房屋安全责任人限期整改。</w:t>
      </w:r>
    </w:p>
    <w:p>
      <w:pPr>
        <w:pStyle w:val="P1"/>
        <w:ind w:firstLine="640"/>
        <w:rPr>
          <w:rStyle w:val="C3"/>
          <w:rFonts w:ascii="仿宋_GB2312" w:hAnsi="仿宋_GB2312"/>
          <w:sz w:val="32"/>
        </w:rPr>
      </w:pPr>
      <w:r>
        <w:rPr>
          <w:rStyle w:val="C3"/>
          <w:rFonts w:ascii="方正姚体" w:hAnsi="方正姚体"/>
          <w:sz w:val="32"/>
        </w:rPr>
        <w:t>第十一条</w:t>
      </w:r>
      <w:r>
        <w:rPr>
          <w:rStyle w:val="C3"/>
          <w:sz w:val="32"/>
        </w:rPr>
        <w:t xml:space="preserve">  </w:t>
      </w:r>
      <w:r>
        <w:rPr>
          <w:rStyle w:val="C3"/>
          <w:rFonts w:ascii="Microsoft YaHei UI" w:hAnsi="Microsoft YaHei UI"/>
          <w:sz w:val="32"/>
        </w:rPr>
        <w:t>物业服务企业、房屋管理单位以及房屋安全网格人员应当做好管理范围内房屋安全的管理工作，制止危害房屋结构安全的行为，对拒不接受管理的，应当及时报告房屋安全主管部门。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房屋使用人发现房屋存在安全隐患的，应当告知房屋安全责任人或者报告房屋安全主管部门，并配合做好房屋安全相关工作。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方正姚体" w:hAnsi="方正姚体"/>
          <w:sz w:val="32"/>
        </w:rPr>
        <w:t>第十二条</w:t>
      </w:r>
      <w:r>
        <w:rPr>
          <w:rStyle w:val="C3"/>
          <w:sz w:val="32"/>
        </w:rPr>
        <w:t xml:space="preserve">  </w:t>
      </w:r>
      <w:r>
        <w:rPr>
          <w:rStyle w:val="C3"/>
          <w:rFonts w:ascii="Microsoft YaHei UI" w:hAnsi="Microsoft YaHei UI"/>
          <w:sz w:val="32"/>
        </w:rPr>
        <w:t>违反本条例规定，实施危害房屋结构安全行为拒不整改的，房屋安全主管部门应当将其违法信息纳入本市公共信用信息服务平台。当事人为企业的，还应当通过企业信用信息公示系统依法公开。</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w:t>
      </w:r>
      <w:r>
        <w:rPr>
          <w:rStyle w:val="C3"/>
          <w:rFonts w:ascii="方正姚体" w:hAnsi="方正姚体"/>
          <w:sz w:val="32"/>
        </w:rPr>
        <w:t>十三条</w:t>
      </w:r>
      <w:r>
        <w:rPr>
          <w:rStyle w:val="C3"/>
          <w:sz w:val="32"/>
        </w:rPr>
        <w:t xml:space="preserve"> </w:t>
      </w:r>
      <w:r>
        <w:rPr>
          <w:rStyle w:val="C3"/>
          <w:rFonts w:ascii="Microsoft YaHei UI" w:hAnsi="Microsoft YaHei UI"/>
          <w:sz w:val="32"/>
        </w:rPr>
        <w:t>进行城市轨道等重大基础设施工程施工时，建设单位、施工单位应当依据相关法律、法规和技术规范，在施工前实地调查周边房屋的地基、建筑主体情况，进行风险评估，编制房屋变形监测方案以及专项安全防护方案，采取安全防护措施。</w:t>
      </w:r>
    </w:p>
    <w:p>
      <w:pPr>
        <w:pStyle w:val="P1"/>
        <w:ind w:firstLine="640"/>
        <w:rPr>
          <w:rStyle w:val="C3"/>
          <w:rFonts w:ascii="仿宋_GB2312" w:hAnsi="仿宋_GB2312"/>
          <w:sz w:val="32"/>
        </w:rPr>
      </w:pPr>
      <w:r>
        <w:rPr>
          <w:rStyle w:val="C3"/>
          <w:rFonts w:ascii="Microsoft YaHei UI" w:hAnsi="Microsoft YaHei UI"/>
          <w:sz w:val="32"/>
        </w:rPr>
        <w:t>建设主管部门应当督促建设单位、施工单位采取有效措施保障周边区域房屋安全。</w:t>
      </w:r>
    </w:p>
    <w:p>
      <w:pPr>
        <w:pStyle w:val="P1"/>
        <w:ind w:firstLine="640"/>
        <w:rPr>
          <w:rStyle w:val="C3"/>
          <w:rFonts w:ascii="仿宋_GB2312" w:hAnsi="仿宋_GB2312"/>
          <w:sz w:val="32"/>
        </w:rPr>
      </w:pPr>
      <w:r>
        <w:rPr>
          <w:rStyle w:val="C3"/>
          <w:rFonts w:ascii="Microsoft YaHei UI" w:hAnsi="Microsoft YaHei UI"/>
          <w:sz w:val="32"/>
        </w:rPr>
        <w:t>发生危及房屋安全情形的，建设单位应当及时排除险情，并向房屋所在地的区房屋安全主管部门报告。</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房屋安全鉴定管理</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w:t>
      </w:r>
      <w:r>
        <w:rPr>
          <w:rStyle w:val="C3"/>
          <w:rFonts w:ascii="方正姚体" w:hAnsi="方正姚体"/>
          <w:sz w:val="32"/>
        </w:rPr>
        <w:t>十四条</w:t>
      </w:r>
      <w:r>
        <w:rPr>
          <w:rStyle w:val="C3"/>
          <w:rFonts w:ascii="仿宋_GB2312" w:hAnsi="仿宋_GB2312"/>
          <w:sz w:val="32"/>
        </w:rPr>
        <w:t xml:space="preserve">  </w:t>
      </w:r>
      <w:r>
        <w:rPr>
          <w:rStyle w:val="C3"/>
          <w:rFonts w:ascii="Microsoft YaHei UI" w:hAnsi="Microsoft YaHei UI"/>
          <w:sz w:val="32"/>
        </w:rPr>
        <w:t>本条例所称房屋安全鉴定是指依法设立的房屋安全鉴定机构对房屋安全状况进行的鉴别和判定。</w:t>
      </w:r>
    </w:p>
    <w:p>
      <w:pPr>
        <w:pStyle w:val="P1"/>
        <w:ind w:firstLine="640"/>
        <w:rPr>
          <w:rStyle w:val="C3"/>
          <w:rFonts w:ascii="仿宋_GB2312" w:hAnsi="仿宋_GB2312"/>
          <w:sz w:val="32"/>
        </w:rPr>
      </w:pPr>
      <w:r>
        <w:rPr>
          <w:rStyle w:val="C3"/>
          <w:rFonts w:ascii="Microsoft YaHei UI" w:hAnsi="Microsoft YaHei UI"/>
          <w:sz w:val="32"/>
        </w:rPr>
        <w:t>在本市从事房屋安全鉴定的机构应当向市住房保障和房屋管理主管部门备案。市住房保障和房屋管理主管部门应当将房屋安全鉴定机构备案名录定期向社会公布。</w:t>
      </w:r>
    </w:p>
    <w:p>
      <w:pPr>
        <w:pStyle w:val="P1"/>
        <w:ind w:firstLine="640"/>
        <w:rPr>
          <w:rStyle w:val="C3"/>
          <w:rFonts w:ascii="仿宋_GB2312" w:hAnsi="仿宋_GB2312"/>
          <w:sz w:val="32"/>
        </w:rPr>
      </w:pPr>
      <w:r>
        <w:rPr>
          <w:rStyle w:val="C3"/>
          <w:rFonts w:ascii="Microsoft YaHei UI" w:hAnsi="Microsoft YaHei UI"/>
          <w:sz w:val="32"/>
        </w:rPr>
        <w:t>房屋安全鉴定机构作出的鉴定结论，是认定房屋安全状况的依据，应当客观、真实反映房屋安全状况。房屋安全鉴定机构不得出具虚假报告。</w:t>
      </w:r>
    </w:p>
    <w:p>
      <w:pPr>
        <w:pStyle w:val="P1"/>
        <w:ind w:firstLine="640"/>
        <w:rPr>
          <w:rStyle w:val="C3"/>
          <w:rFonts w:ascii="仿宋_GB2312" w:hAnsi="仿宋_GB2312"/>
          <w:sz w:val="32"/>
        </w:rPr>
      </w:pPr>
      <w:r>
        <w:rPr>
          <w:rStyle w:val="C3"/>
          <w:rFonts w:ascii="黑体" w:hAnsi="黑体"/>
          <w:sz w:val="32"/>
        </w:rPr>
        <w:t>第</w:t>
      </w:r>
      <w:r>
        <w:rPr>
          <w:rStyle w:val="C3"/>
          <w:rFonts w:ascii="方正姚体" w:hAnsi="方正姚体"/>
          <w:sz w:val="32"/>
        </w:rPr>
        <w:t>十五条</w:t>
      </w:r>
      <w:r>
        <w:rPr>
          <w:rStyle w:val="C3"/>
          <w:rFonts w:ascii="仿宋_GB2312" w:hAnsi="仿宋_GB2312"/>
          <w:sz w:val="32"/>
        </w:rPr>
        <w:t xml:space="preserve">  </w:t>
      </w:r>
      <w:r>
        <w:rPr>
          <w:rStyle w:val="C3"/>
          <w:rFonts w:ascii="Microsoft YaHei UI" w:hAnsi="Microsoft YaHei UI"/>
          <w:sz w:val="32"/>
        </w:rPr>
        <w:t>出现下列危及房屋结构安全情形之一的，房屋安全责任人应当委托房屋安全鉴定机构进行鉴定：</w:t>
      </w:r>
    </w:p>
    <w:p>
      <w:pPr>
        <w:pStyle w:val="P1"/>
        <w:ind w:firstLine="640"/>
        <w:rPr>
          <w:rStyle w:val="C3"/>
          <w:rFonts w:ascii="仿宋_GB2312" w:hAnsi="仿宋_GB2312"/>
          <w:sz w:val="32"/>
        </w:rPr>
      </w:pPr>
      <w:r>
        <w:rPr>
          <w:rStyle w:val="C3"/>
          <w:rFonts w:ascii="Microsoft YaHei UI" w:hAnsi="Microsoft YaHei UI"/>
          <w:sz w:val="32"/>
        </w:rPr>
        <w:t>（一）地基不均匀沉降、滑移、开裂的；</w:t>
      </w:r>
    </w:p>
    <w:p>
      <w:pPr>
        <w:pStyle w:val="P1"/>
        <w:ind w:firstLine="640"/>
        <w:rPr>
          <w:rStyle w:val="C3"/>
          <w:rFonts w:ascii="仿宋_GB2312" w:hAnsi="仿宋_GB2312"/>
          <w:sz w:val="32"/>
        </w:rPr>
      </w:pPr>
      <w:r>
        <w:rPr>
          <w:rStyle w:val="C3"/>
          <w:rFonts w:ascii="Microsoft YaHei UI" w:hAnsi="Microsoft YaHei UI"/>
          <w:sz w:val="32"/>
        </w:rPr>
        <w:t>（二）基础开裂破损的；</w:t>
      </w:r>
    </w:p>
    <w:p>
      <w:pPr>
        <w:pStyle w:val="P1"/>
        <w:ind w:firstLine="640"/>
        <w:rPr>
          <w:rStyle w:val="C3"/>
          <w:rFonts w:ascii="仿宋_GB2312" w:hAnsi="仿宋_GB2312"/>
          <w:sz w:val="32"/>
        </w:rPr>
      </w:pPr>
      <w:r>
        <w:rPr>
          <w:rStyle w:val="C3"/>
          <w:rFonts w:ascii="Microsoft YaHei UI" w:hAnsi="Microsoft YaHei UI"/>
          <w:sz w:val="32"/>
        </w:rPr>
        <w:t>（三）墙体开裂、位移、倾斜、风化碱蚀的；</w:t>
      </w:r>
    </w:p>
    <w:p>
      <w:pPr>
        <w:pStyle w:val="P1"/>
        <w:ind w:firstLine="640"/>
        <w:rPr>
          <w:rStyle w:val="C3"/>
          <w:rFonts w:ascii="仿宋_GB2312" w:hAnsi="仿宋_GB2312"/>
          <w:sz w:val="32"/>
        </w:rPr>
      </w:pPr>
      <w:r>
        <w:rPr>
          <w:rStyle w:val="C3"/>
          <w:rFonts w:ascii="Microsoft YaHei UI" w:hAnsi="Microsoft YaHei UI"/>
          <w:sz w:val="32"/>
        </w:rPr>
        <w:t>（四）梁、板、柱等钢筋混凝土构件开裂、变形、位移、钢筋锈蚀的；</w:t>
      </w:r>
    </w:p>
    <w:p>
      <w:pPr>
        <w:pStyle w:val="P1"/>
        <w:ind w:firstLine="640"/>
        <w:rPr>
          <w:rStyle w:val="C3"/>
          <w:rFonts w:ascii="仿宋_GB2312" w:hAnsi="仿宋_GB2312"/>
          <w:sz w:val="32"/>
        </w:rPr>
      </w:pPr>
      <w:r>
        <w:rPr>
          <w:rStyle w:val="C3"/>
          <w:rFonts w:ascii="Microsoft YaHei UI" w:hAnsi="Microsoft YaHei UI"/>
          <w:sz w:val="32"/>
        </w:rPr>
        <w:t>（五）木质构件腐朽、变形、节点松动的；</w:t>
      </w:r>
    </w:p>
    <w:p>
      <w:pPr>
        <w:pStyle w:val="P1"/>
        <w:ind w:firstLine="640"/>
        <w:rPr>
          <w:rStyle w:val="C3"/>
          <w:rFonts w:ascii="仿宋_GB2312" w:hAnsi="仿宋_GB2312"/>
          <w:sz w:val="32"/>
        </w:rPr>
      </w:pPr>
      <w:r>
        <w:rPr>
          <w:rStyle w:val="C3"/>
          <w:rFonts w:ascii="Microsoft YaHei UI" w:hAnsi="Microsoft YaHei UI"/>
          <w:sz w:val="32"/>
        </w:rPr>
        <w:t>（六）钢结构构件或者连接件开裂、锈蚀，焊缝、螺栓或者铆接拉开、变形、松动的；</w:t>
      </w:r>
    </w:p>
    <w:p>
      <w:pPr>
        <w:pStyle w:val="P1"/>
        <w:ind w:firstLine="640"/>
        <w:rPr>
          <w:rStyle w:val="C3"/>
          <w:rFonts w:ascii="仿宋_GB2312" w:hAnsi="仿宋_GB2312"/>
          <w:sz w:val="32"/>
        </w:rPr>
      </w:pPr>
      <w:r>
        <w:rPr>
          <w:rStyle w:val="C3"/>
          <w:rFonts w:ascii="Microsoft YaHei UI" w:hAnsi="Microsoft YaHei UI"/>
          <w:sz w:val="32"/>
        </w:rPr>
        <w:t>（七）房屋超过设计使用年限继续使用的；</w:t>
      </w:r>
    </w:p>
    <w:p>
      <w:pPr>
        <w:pStyle w:val="P1"/>
        <w:ind w:firstLine="640"/>
        <w:rPr>
          <w:rStyle w:val="C3"/>
          <w:rFonts w:ascii="仿宋_GB2312" w:hAnsi="仿宋_GB2312"/>
          <w:sz w:val="32"/>
        </w:rPr>
      </w:pPr>
      <w:r>
        <w:rPr>
          <w:rStyle w:val="C3"/>
          <w:rFonts w:ascii="Microsoft YaHei UI" w:hAnsi="Microsoft YaHei UI"/>
          <w:sz w:val="32"/>
        </w:rPr>
        <w:t>（八）发生自然灾害或者遭受火灾、爆炸等意外事故影响房屋安全的；</w:t>
      </w:r>
    </w:p>
    <w:p>
      <w:pPr>
        <w:pStyle w:val="P1"/>
        <w:ind w:firstLine="640"/>
        <w:rPr>
          <w:rStyle w:val="C3"/>
          <w:rFonts w:ascii="仿宋_GB2312" w:hAnsi="仿宋_GB2312"/>
          <w:sz w:val="32"/>
        </w:rPr>
      </w:pPr>
      <w:r>
        <w:rPr>
          <w:rStyle w:val="C3"/>
          <w:rFonts w:ascii="Microsoft YaHei UI" w:hAnsi="Microsoft YaHei UI"/>
          <w:sz w:val="32"/>
        </w:rPr>
        <w:t>（九）教育、卫生、体育、文化、交通、商贸服务等大型公共建筑达到设计使用年限三分之二时未作房屋安全鉴定的；</w:t>
      </w:r>
    </w:p>
    <w:p>
      <w:pPr>
        <w:pStyle w:val="P1"/>
        <w:ind w:firstLine="640"/>
        <w:rPr>
          <w:rStyle w:val="C3"/>
          <w:rFonts w:ascii="仿宋_GB2312" w:hAnsi="仿宋_GB2312"/>
          <w:sz w:val="32"/>
        </w:rPr>
      </w:pPr>
      <w:r>
        <w:rPr>
          <w:rStyle w:val="C3"/>
          <w:rFonts w:ascii="Microsoft YaHei UI" w:hAnsi="Microsoft YaHei UI"/>
          <w:sz w:val="32"/>
        </w:rPr>
        <w:t>（十）其他危及房屋结构安全情形的。</w:t>
      </w:r>
    </w:p>
    <w:p>
      <w:pPr>
        <w:pStyle w:val="P1"/>
        <w:spacing w:lineRule="exact" w:line="560"/>
        <w:ind w:firstLine="640"/>
        <w:rPr>
          <w:rStyle w:val="C3"/>
          <w:rFonts w:ascii="仿宋_GB2312" w:hAnsi="仿宋_GB2312"/>
          <w:sz w:val="32"/>
        </w:rPr>
      </w:pPr>
      <w:r>
        <w:rPr>
          <w:rStyle w:val="C3"/>
          <w:rFonts w:ascii="Microsoft YaHei UI" w:hAnsi="Microsoft YaHei UI"/>
          <w:sz w:val="32"/>
        </w:rPr>
        <w:t>房屋安全责任人拒不委托鉴定的，区房屋安全主管部门可以根据公共安全需要组织鉴定。</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委托房屋安全鉴定机构进行房屋安全鉴定的，委托人应当提供下列材料：</w:t>
      </w:r>
    </w:p>
    <w:p>
      <w:pPr>
        <w:pStyle w:val="P1"/>
        <w:ind w:firstLine="640"/>
        <w:rPr>
          <w:rStyle w:val="C3"/>
          <w:rFonts w:ascii="仿宋_GB2312" w:hAnsi="仿宋_GB2312"/>
          <w:sz w:val="32"/>
        </w:rPr>
      </w:pPr>
      <w:r>
        <w:rPr>
          <w:rStyle w:val="C3"/>
          <w:rFonts w:ascii="Microsoft YaHei UI" w:hAnsi="Microsoft YaHei UI"/>
          <w:sz w:val="32"/>
        </w:rPr>
        <w:t>（一）委托人的身份证明材料；</w:t>
      </w:r>
    </w:p>
    <w:p>
      <w:pPr>
        <w:pStyle w:val="P1"/>
        <w:ind w:firstLine="640"/>
        <w:rPr>
          <w:rStyle w:val="C3"/>
          <w:rFonts w:ascii="仿宋_GB2312" w:hAnsi="仿宋_GB2312"/>
          <w:sz w:val="32"/>
        </w:rPr>
      </w:pPr>
      <w:r>
        <w:rPr>
          <w:rStyle w:val="C3"/>
          <w:rFonts w:ascii="Microsoft YaHei UI" w:hAnsi="Microsoft YaHei UI"/>
          <w:sz w:val="32"/>
        </w:rPr>
        <w:t>（二）房屋权属证书或者证明其合法权益的其他有效凭证，或者证明与被鉴定房屋有相关民事权利义务关系的其他有效凭证；</w:t>
      </w:r>
    </w:p>
    <w:p>
      <w:pPr>
        <w:pStyle w:val="P1"/>
        <w:ind w:firstLine="640"/>
        <w:rPr>
          <w:rStyle w:val="C3"/>
          <w:rFonts w:ascii="仿宋_GB2312" w:hAnsi="仿宋_GB2312"/>
          <w:sz w:val="32"/>
        </w:rPr>
      </w:pPr>
      <w:r>
        <w:rPr>
          <w:rStyle w:val="C3"/>
          <w:rFonts w:ascii="Microsoft YaHei UI" w:hAnsi="Microsoft YaHei UI"/>
          <w:sz w:val="32"/>
        </w:rPr>
        <w:t>（三）法律、法规规定应当提供的其他材料。</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鉴定委托人或者利害关系人对鉴定结论有异议的，可以在收到房屋安全鉴定报告之日起十五日内，委托再次鉴定。</w:t>
      </w:r>
    </w:p>
    <w:p>
      <w:pPr>
        <w:pStyle w:val="P1"/>
        <w:ind w:firstLine="640"/>
        <w:rPr>
          <w:rStyle w:val="C3"/>
          <w:rFonts w:ascii="仿宋_GB2312" w:hAnsi="仿宋_GB2312"/>
          <w:sz w:val="32"/>
        </w:rPr>
      </w:pPr>
      <w:r>
        <w:rPr>
          <w:rStyle w:val="C3"/>
          <w:rFonts w:ascii="Microsoft YaHei UI" w:hAnsi="Microsoft YaHei UI"/>
          <w:sz w:val="32"/>
        </w:rPr>
        <w:t>委托再次鉴定的，应当在房屋安全鉴定机构备案名录中选择原鉴定机构以外的其他鉴定机构。</w:t>
      </w:r>
    </w:p>
    <w:p>
      <w:pPr>
        <w:pStyle w:val="P1"/>
        <w:ind w:firstLine="640"/>
        <w:rPr>
          <w:rStyle w:val="C3"/>
          <w:rFonts w:ascii="仿宋_GB2312" w:hAnsi="仿宋_GB2312"/>
          <w:sz w:val="32"/>
        </w:rPr>
      </w:pPr>
      <w:r>
        <w:rPr>
          <w:rStyle w:val="C3"/>
          <w:rFonts w:ascii="Microsoft YaHei UI" w:hAnsi="Microsoft YaHei UI"/>
          <w:sz w:val="32"/>
        </w:rPr>
        <w:t>对再次鉴定结论有异议的，房屋安全责任人或者利害关系人可以在三十日内向市房屋安全鉴定专家组申请复核。市房屋安全主管部门根据复核意见认定鉴定结论。</w:t>
      </w:r>
    </w:p>
    <w:p>
      <w:pPr>
        <w:pStyle w:val="P1"/>
        <w:ind w:firstLine="640"/>
        <w:rPr>
          <w:rStyle w:val="C3"/>
          <w:rFonts w:ascii="仿宋_GB2312" w:hAnsi="仿宋_GB2312"/>
          <w:sz w:val="32"/>
        </w:rPr>
      </w:pPr>
      <w:r>
        <w:rPr>
          <w:rStyle w:val="C3"/>
          <w:rFonts w:ascii="Microsoft YaHei UI" w:hAnsi="Microsoft YaHei UI"/>
          <w:sz w:val="32"/>
        </w:rPr>
        <w:t>市房屋安全鉴定专家组由市住房保障和房屋管理主管部门负责建立。</w:t>
      </w:r>
    </w:p>
    <w:p>
      <w:pPr>
        <w:pStyle w:val="P1"/>
        <w:ind w:firstLine="640"/>
        <w:rPr>
          <w:rStyle w:val="C3"/>
          <w:rFonts w:ascii="黑体" w:hAnsi="黑体"/>
          <w:sz w:val="32"/>
        </w:rPr>
      </w:pPr>
      <w:r>
        <w:rPr>
          <w:rStyle w:val="C3"/>
          <w:rFonts w:ascii="黑体" w:hAnsi="黑体"/>
          <w:sz w:val="32"/>
        </w:rPr>
        <w:t xml:space="preserve">第十八条  </w:t>
      </w:r>
      <w:r>
        <w:rPr>
          <w:rStyle w:val="C3"/>
          <w:rFonts w:ascii="Microsoft YaHei UI" w:hAnsi="Microsoft YaHei UI"/>
          <w:sz w:val="32"/>
        </w:rPr>
        <w:t>房屋安全鉴定机构的鉴定程序、方法和鉴定报告应当符合国家、行业、地方相关标准和规范。房屋安全鉴定机构及其鉴定人员对作出的鉴定报告负责，承担相应的法律责任。</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危险房屋管理</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本条例所称危险房屋，是指结构已严重损坏或者承重构件已属于危险构件，随时有可能丧失结构稳定和承载能力，不能保证居住和使用安全的房屋。</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经鉴定属于危险房屋的，房屋安全鉴定机构应当根据鉴定结论，在鉴定报告中提出下列处理意见：</w:t>
      </w:r>
    </w:p>
    <w:p>
      <w:pPr>
        <w:pStyle w:val="P1"/>
        <w:ind w:firstLine="640"/>
        <w:rPr>
          <w:rStyle w:val="C3"/>
          <w:rFonts w:ascii="仿宋_GB2312" w:hAnsi="仿宋_GB2312"/>
          <w:sz w:val="32"/>
        </w:rPr>
      </w:pPr>
      <w:r>
        <w:rPr>
          <w:rStyle w:val="C3"/>
          <w:rFonts w:ascii="Microsoft YaHei UI" w:hAnsi="Microsoft YaHei UI"/>
          <w:sz w:val="32"/>
        </w:rPr>
        <w:t>（一）观察使用。适用于采取适当安全技术措施后，尚能短期使用，但须继续观察的房屋。房屋安全责任人应当按照鉴定报告注明的条件和时限使用。</w:t>
      </w:r>
    </w:p>
    <w:p>
      <w:pPr>
        <w:pStyle w:val="P1"/>
        <w:ind w:firstLine="640"/>
        <w:rPr>
          <w:rStyle w:val="C3"/>
          <w:rFonts w:ascii="仿宋_GB2312" w:hAnsi="仿宋_GB2312"/>
          <w:sz w:val="32"/>
        </w:rPr>
      </w:pPr>
      <w:r>
        <w:rPr>
          <w:rStyle w:val="C3"/>
          <w:rFonts w:ascii="Microsoft YaHei UI" w:hAnsi="Microsoft YaHei UI"/>
          <w:sz w:val="32"/>
        </w:rPr>
        <w:t>（二）处理使用。适用于采取适当技术措施后，可解除危险的房屋。房屋安全责任人应当委托具有相应资质等级的设计单位出具解除危险技术措施方案，委托施工单位按照方案施工，并按照设计单位确定的后续使用年限使用。</w:t>
      </w:r>
    </w:p>
    <w:p>
      <w:pPr>
        <w:pStyle w:val="P1"/>
        <w:ind w:firstLine="640"/>
        <w:rPr>
          <w:rStyle w:val="C3"/>
          <w:rFonts w:ascii="仿宋_GB2312" w:hAnsi="仿宋_GB2312"/>
          <w:sz w:val="32"/>
        </w:rPr>
      </w:pPr>
      <w:r>
        <w:rPr>
          <w:rStyle w:val="C3"/>
          <w:rFonts w:ascii="Microsoft YaHei UI" w:hAnsi="Microsoft YaHei UI"/>
          <w:sz w:val="32"/>
        </w:rPr>
        <w:t>（三）停止使用。适用于已无修缮价值，暂时不便拆除，且不危及相邻建筑和影响他人安全的房屋。房屋安全责任人及使用人应当停止使用，立即迁出。</w:t>
      </w:r>
    </w:p>
    <w:p>
      <w:pPr>
        <w:pStyle w:val="P1"/>
        <w:ind w:firstLine="640"/>
        <w:rPr>
          <w:rStyle w:val="C3"/>
          <w:rFonts w:ascii="仿宋_GB2312" w:hAnsi="仿宋_GB2312"/>
          <w:sz w:val="32"/>
        </w:rPr>
      </w:pPr>
      <w:r>
        <w:rPr>
          <w:rStyle w:val="C3"/>
          <w:rFonts w:ascii="Microsoft YaHei UI" w:hAnsi="Microsoft YaHei UI"/>
          <w:sz w:val="32"/>
        </w:rPr>
        <w:t>（四）整体拆除。适用于整幢危险并可能危及公共安全且无修缮价值的房屋，须立即拆除。房屋安全责任人及使用人应当立即迁出。</w:t>
      </w:r>
    </w:p>
    <w:p>
      <w:pPr>
        <w:pStyle w:val="P1"/>
        <w:ind w:firstLine="640"/>
        <w:rPr>
          <w:rStyle w:val="C3"/>
          <w:rFonts w:ascii="仿宋_GB2312" w:hAnsi="仿宋_GB2312"/>
          <w:sz w:val="32"/>
        </w:rPr>
      </w:pPr>
      <w:r>
        <w:rPr>
          <w:rStyle w:val="C3"/>
          <w:rFonts w:ascii="Microsoft YaHei UI" w:hAnsi="Microsoft YaHei UI"/>
          <w:sz w:val="32"/>
        </w:rPr>
        <w:t>危险房屋鉴定应以幢为鉴定单位，并应执行住房城乡建设部颁发的《危险房屋鉴定标准》。</w:t>
      </w:r>
    </w:p>
    <w:p>
      <w:pPr>
        <w:pStyle w:val="P1"/>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经鉴定属于危险房屋的，房屋安全鉴定机构应当及时将鉴定报告告知房屋安全责任人，并及时报送房屋所在地的区房屋安全主管部门。区房屋安全主管部门接到报告后应当及时向房屋安全责任人发出《危险房屋通知书》。</w:t>
      </w:r>
    </w:p>
    <w:p>
      <w:pPr>
        <w:pStyle w:val="P1"/>
        <w:ind w:firstLine="640"/>
        <w:rPr>
          <w:rStyle w:val="C3"/>
          <w:rFonts w:ascii="仿宋_GB2312" w:hAnsi="仿宋_GB2312"/>
          <w:sz w:val="32"/>
        </w:rPr>
      </w:pPr>
      <w:r>
        <w:rPr>
          <w:rStyle w:val="C3"/>
          <w:rFonts w:ascii="Microsoft YaHei UI" w:hAnsi="Microsoft YaHei UI"/>
          <w:sz w:val="32"/>
        </w:rPr>
        <w:t>存在安全隐患尚未鉴定为危险房屋的，房屋安全鉴定机构应当在鉴定报告上注明在正常使用条件下的有效时限，一般不超过一年。</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房屋安全责任人应当按照《危险房屋通知书》的要求对房屋及时加固、修缮或者停止使用。经鉴定应当停止使用、整体拆除的危险房屋，房屋安全责任人及使用人迁出后，房屋不得使用；房屋安全责任人及使用人拒不迁出的，区人民政府应当及时按照应急预案组织相关部门采取必要措施。</w:t>
      </w:r>
    </w:p>
    <w:p>
      <w:pPr>
        <w:pStyle w:val="P1"/>
        <w:ind w:firstLine="640"/>
        <w:rPr>
          <w:rStyle w:val="C3"/>
          <w:rFonts w:ascii="仿宋_GB2312" w:hAnsi="仿宋_GB2312"/>
          <w:sz w:val="32"/>
        </w:rPr>
      </w:pPr>
      <w:r>
        <w:rPr>
          <w:rStyle w:val="C3"/>
          <w:rFonts w:ascii="Microsoft YaHei UI" w:hAnsi="Microsoft YaHei UI"/>
          <w:sz w:val="32"/>
        </w:rPr>
        <w:t>异产毗连危险房屋的各所有权人，应当按照国家对异产毗连房屋的有关规定，共同履行治理责任。拒不承担责任的，由房屋所在地的区房屋安全主管部门调处；当事人不服的，可依法向当地人民法院起诉。</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区房屋安全主管部门应当督促房屋安全责任人及时治理危险房屋，对危险房屋修缮加固和排险情况进行检查，并将治理情况报告市房屋安全主管部门。</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市、区人民政府应当优先将危险房屋列入城市建设改造计划。</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房屋安全监督管理</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市房屋安全主管部门履行下列职责：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（一）负责全市房屋安全管理工作的统筹和政策研究，制定相关政策和标准；</w:t>
      </w:r>
    </w:p>
    <w:p>
      <w:pPr>
        <w:pStyle w:val="P1"/>
        <w:spacing w:lineRule="exact" w:line="560"/>
        <w:ind w:firstLine="640"/>
        <w:rPr>
          <w:rStyle w:val="C3"/>
          <w:rFonts w:ascii="仿宋_GB2312" w:hAnsi="仿宋_GB2312"/>
          <w:sz w:val="32"/>
        </w:rPr>
      </w:pPr>
      <w:r>
        <w:rPr>
          <w:rStyle w:val="C3"/>
          <w:rFonts w:ascii="Microsoft YaHei UI" w:hAnsi="Microsoft YaHei UI"/>
          <w:sz w:val="32"/>
        </w:rPr>
        <w:t>（二）建立房屋安全鉴定机构备案名录库，并及时更新向社会公开；</w:t>
      </w:r>
    </w:p>
    <w:p>
      <w:pPr>
        <w:pStyle w:val="P1"/>
        <w:spacing w:lineRule="exact" w:line="560"/>
        <w:ind w:firstLine="640"/>
        <w:rPr>
          <w:rStyle w:val="C3"/>
          <w:rFonts w:ascii="仿宋_GB2312" w:hAnsi="仿宋_GB2312"/>
          <w:sz w:val="32"/>
        </w:rPr>
      </w:pPr>
      <w:r>
        <w:rPr>
          <w:rStyle w:val="C3"/>
          <w:rFonts w:ascii="Microsoft YaHei UI" w:hAnsi="Microsoft YaHei UI"/>
          <w:sz w:val="32"/>
        </w:rPr>
        <w:t>（三）组织编制全市房屋安全应急预案，配合市、区人民政府做好重大房屋安全应急处置工作；</w:t>
      </w:r>
    </w:p>
    <w:p>
      <w:pPr>
        <w:pStyle w:val="P1"/>
        <w:spacing w:lineRule="exact" w:line="560"/>
        <w:ind w:firstLine="640"/>
        <w:rPr>
          <w:rStyle w:val="C3"/>
          <w:rFonts w:ascii="仿宋_GB2312" w:hAnsi="仿宋_GB2312"/>
          <w:sz w:val="32"/>
        </w:rPr>
      </w:pPr>
      <w:r>
        <w:rPr>
          <w:rStyle w:val="C3"/>
          <w:rFonts w:ascii="Microsoft YaHei UI" w:hAnsi="Microsoft YaHei UI"/>
          <w:sz w:val="32"/>
        </w:rPr>
        <w:t>（四）指导、服务和监督各区开展房屋安全管理工作；</w:t>
      </w:r>
    </w:p>
    <w:p>
      <w:pPr>
        <w:pStyle w:val="P1"/>
        <w:ind w:firstLine="640"/>
        <w:rPr>
          <w:rStyle w:val="C3"/>
          <w:rFonts w:ascii="仿宋_GB2312" w:hAnsi="仿宋_GB2312"/>
          <w:sz w:val="32"/>
        </w:rPr>
      </w:pPr>
      <w:r>
        <w:rPr>
          <w:rStyle w:val="C3"/>
          <w:rFonts w:ascii="Microsoft YaHei UI" w:hAnsi="Microsoft YaHei UI"/>
          <w:sz w:val="32"/>
        </w:rPr>
        <w:t>（五）法律、法规规定的其他职责。</w:t>
      </w:r>
    </w:p>
    <w:p>
      <w:pPr>
        <w:pStyle w:val="P1"/>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区房屋安全主管部门在辖区内履行下列职责：</w:t>
      </w:r>
    </w:p>
    <w:p>
      <w:pPr>
        <w:pStyle w:val="P1"/>
        <w:ind w:firstLine="640"/>
        <w:rPr>
          <w:rStyle w:val="C3"/>
          <w:rFonts w:ascii="仿宋_GB2312" w:hAnsi="仿宋_GB2312"/>
          <w:sz w:val="32"/>
        </w:rPr>
      </w:pPr>
      <w:r>
        <w:rPr>
          <w:rStyle w:val="C3"/>
          <w:rFonts w:ascii="Microsoft YaHei UI" w:hAnsi="Microsoft YaHei UI"/>
          <w:sz w:val="32"/>
        </w:rPr>
        <w:t>（一）定期组织房屋安全检查；</w:t>
      </w:r>
    </w:p>
    <w:p>
      <w:pPr>
        <w:pStyle w:val="P1"/>
        <w:ind w:firstLine="640"/>
        <w:rPr>
          <w:rStyle w:val="C3"/>
          <w:rFonts w:ascii="仿宋_GB2312" w:hAnsi="仿宋_GB2312"/>
          <w:sz w:val="32"/>
        </w:rPr>
      </w:pPr>
      <w:r>
        <w:rPr>
          <w:rStyle w:val="C3"/>
          <w:rFonts w:ascii="Microsoft YaHei UI" w:hAnsi="Microsoft YaHei UI"/>
          <w:sz w:val="32"/>
        </w:rPr>
        <w:t>（二）组织开展危险房屋巡查，督促房屋安全责任人及时进行危险房屋治理；</w:t>
      </w:r>
    </w:p>
    <w:p>
      <w:pPr>
        <w:pStyle w:val="P1"/>
        <w:ind w:firstLine="640"/>
        <w:rPr>
          <w:rStyle w:val="C3"/>
          <w:rFonts w:ascii="仿宋_GB2312" w:hAnsi="仿宋_GB2312"/>
          <w:sz w:val="32"/>
        </w:rPr>
      </w:pPr>
      <w:r>
        <w:rPr>
          <w:rStyle w:val="C3"/>
          <w:rFonts w:ascii="Microsoft YaHei UI" w:hAnsi="Microsoft YaHei UI"/>
          <w:sz w:val="32"/>
        </w:rPr>
        <w:t>（三）督促物业服务企业、房屋管理单位或者其他管理人开展日常维护巡查工作；</w:t>
      </w:r>
    </w:p>
    <w:p>
      <w:pPr>
        <w:pStyle w:val="P1"/>
        <w:ind w:firstLine="640"/>
        <w:rPr>
          <w:rStyle w:val="C3"/>
          <w:rFonts w:ascii="仿宋_GB2312" w:hAnsi="仿宋_GB2312"/>
          <w:sz w:val="32"/>
        </w:rPr>
      </w:pPr>
      <w:r>
        <w:rPr>
          <w:rStyle w:val="C3"/>
          <w:rFonts w:ascii="Microsoft YaHei UI" w:hAnsi="Microsoft YaHei UI"/>
          <w:sz w:val="32"/>
        </w:rPr>
        <w:t>（四）组织编制房屋安全应急预案，按照规定做好房屋安全应急处置工作；</w:t>
      </w:r>
    </w:p>
    <w:p>
      <w:pPr>
        <w:pStyle w:val="P1"/>
        <w:ind w:firstLine="640"/>
        <w:rPr>
          <w:rStyle w:val="C3"/>
          <w:rFonts w:ascii="仿宋_GB2312" w:hAnsi="仿宋_GB2312"/>
          <w:sz w:val="32"/>
        </w:rPr>
      </w:pPr>
      <w:r>
        <w:rPr>
          <w:rStyle w:val="C3"/>
          <w:rFonts w:ascii="Microsoft YaHei UI" w:hAnsi="Microsoft YaHei UI"/>
          <w:sz w:val="32"/>
        </w:rPr>
        <w:t>（五）依法查处房屋安全违法违规行为；</w:t>
      </w:r>
    </w:p>
    <w:p>
      <w:pPr>
        <w:pStyle w:val="P1"/>
        <w:ind w:firstLine="640"/>
        <w:rPr>
          <w:rStyle w:val="C3"/>
          <w:rFonts w:ascii="仿宋_GB2312" w:hAnsi="仿宋_GB2312"/>
          <w:sz w:val="32"/>
        </w:rPr>
      </w:pPr>
      <w:r>
        <w:rPr>
          <w:rStyle w:val="C3"/>
          <w:rFonts w:ascii="Microsoft YaHei UI" w:hAnsi="Microsoft YaHei UI"/>
          <w:sz w:val="32"/>
        </w:rPr>
        <w:t>（六）宣传房屋安全知识；</w:t>
      </w:r>
    </w:p>
    <w:p>
      <w:pPr>
        <w:pStyle w:val="P1"/>
        <w:ind w:firstLine="640"/>
        <w:rPr>
          <w:rStyle w:val="C3"/>
          <w:rFonts w:ascii="仿宋_GB2312" w:hAnsi="仿宋_GB2312"/>
          <w:sz w:val="32"/>
        </w:rPr>
      </w:pPr>
      <w:r>
        <w:rPr>
          <w:rStyle w:val="C3"/>
          <w:rFonts w:ascii="Microsoft YaHei UI" w:hAnsi="Microsoft YaHei UI"/>
          <w:sz w:val="32"/>
        </w:rPr>
        <w:t>（七）指导和监督乡（镇）人民政府、街道办事处开展房屋安全的管理、服务工作；</w:t>
      </w:r>
    </w:p>
    <w:p>
      <w:pPr>
        <w:pStyle w:val="P1"/>
        <w:ind w:firstLine="640"/>
        <w:rPr>
          <w:rStyle w:val="C3"/>
          <w:rFonts w:ascii="仿宋" w:hAnsi="仿宋"/>
          <w:sz w:val="32"/>
        </w:rPr>
      </w:pPr>
      <w:r>
        <w:rPr>
          <w:rStyle w:val="C3"/>
          <w:rFonts w:ascii="Microsoft YaHei UI" w:hAnsi="Microsoft YaHei UI"/>
          <w:sz w:val="32"/>
        </w:rPr>
        <w:t>（八）法律、法规规定的其他职责。</w:t>
      </w:r>
    </w:p>
    <w:p>
      <w:pPr>
        <w:pStyle w:val="P1"/>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房屋安全管理人员依法履行职责时，应当两人以上参加，并出示执法证件。有关单位和个人不得拒绝、妨碍房屋安全管理人员依法执行公务。</w:t>
      </w:r>
    </w:p>
    <w:p>
      <w:pPr>
        <w:pStyle w:val="P1"/>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房屋安全主管部门和有关部门应当建立健全危害房屋安全行为的投诉和举报机制，向社会公开投诉和举报的受理方式。</w:t>
      </w:r>
    </w:p>
    <w:p>
      <w:pPr>
        <w:pStyle w:val="P1"/>
        <w:ind w:firstLine="640"/>
        <w:rPr>
          <w:rStyle w:val="C3"/>
          <w:rFonts w:ascii="仿宋_GB2312" w:hAnsi="仿宋_GB2312"/>
          <w:sz w:val="32"/>
        </w:rPr>
      </w:pPr>
      <w:r>
        <w:rPr>
          <w:rStyle w:val="C3"/>
          <w:rFonts w:ascii="Microsoft YaHei UI" w:hAnsi="Microsoft YaHei UI"/>
          <w:sz w:val="32"/>
        </w:rPr>
        <w:t>公民、法人和其他组织有权对违反房屋安全的行为向房屋安全主管部门进行投诉和举报。</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法律责任</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九条规定的，由区房屋安全主管部门责令限期改正，处一万元以上五万元以下的罚款；情节严重的，处以五万元以上十万元以下的罚款。逾期不改正的，由区房屋安全主管部门依法申请人民法院强制执行。构成犯罪的，依法追究刑事责任。</w:t>
      </w:r>
    </w:p>
    <w:p>
      <w:pPr>
        <w:pStyle w:val="P1"/>
        <w:ind w:firstLine="640"/>
        <w:rPr>
          <w:rStyle w:val="C3"/>
          <w:rFonts w:ascii="仿宋_GB2312" w:hAnsi="仿宋_GB2312"/>
          <w:sz w:val="32"/>
        </w:rPr>
      </w:pPr>
      <w:r>
        <w:rPr>
          <w:rStyle w:val="C3"/>
          <w:rFonts w:ascii="Microsoft YaHei UI" w:hAnsi="Microsoft YaHei UI"/>
          <w:sz w:val="32"/>
        </w:rPr>
        <w:t>违反本条例第九条第五项、第六项，涉及违法建设的，由城市管理、规划和自然资源部门按照有关规定予以查处。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违反本条例十四条第三款规定的，由市房屋安全主管部门处一万元以上五万元以下罚款。</w:t>
      </w:r>
    </w:p>
    <w:p>
      <w:pPr>
        <w:pStyle w:val="P1"/>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违反本条例第十五条规定的，由区房屋安全主管部门告知房屋安全责任人限期申请房屋安全鉴定，逾期仍不申请的，处以二千元以上一万元以下罚款。</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房屋安全管理人员滥用职权、玩忽职守、徇私舞弊的，由房屋安全主管部门依法给予直接主管责任人和直接责任人处分；构成犯罪的，依法追究刑事责任。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附  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各县（市）的城市房屋安全管理工作可参照本条例执行。</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p>
    <w:p>
      <w:pPr>
        <w:pStyle w:val="P1"/>
        <w:widowControl w:val="1"/>
        <w:jc w:val="left"/>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h="0"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14"/>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h="0"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14"/>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New New New New"/>
    <w:next w:val="P2"/>
    <w:pPr>
      <w:widowControl w:val="0"/>
      <w:jc w:val="both"/>
    </w:pPr>
    <w:rPr>
      <w:rFonts w:ascii="Times New Roman" w:hAnsi="Times New Roman"/>
    </w:rPr>
  </w:style>
  <w:style w:type="paragraph" w:styleId="P3">
    <w:name w:val="正文 New New New New New New New New"/>
    <w:next w:val="P3"/>
    <w:pPr>
      <w:widowControl w:val="0"/>
      <w:jc w:val="both"/>
    </w:pPr>
    <w:rPr>
      <w:rFonts w:ascii="Times New Roman" w:hAnsi="Times New Roman"/>
    </w:rPr>
  </w:style>
  <w:style w:type="paragraph" w:styleId="P4">
    <w:name w:val="正文 New New New New New New New New New New New New New New New New New New New New New New New New New New New New New New New"/>
    <w:next w:val="P4"/>
    <w:pPr>
      <w:widowControl w:val="0"/>
      <w:jc w:val="both"/>
    </w:pPr>
    <w:rPr>
      <w:rFonts w:ascii="Times New Roman" w:hAnsi="Times New Roman"/>
    </w:rPr>
  </w:style>
  <w:style w:type="paragraph" w:styleId="P5">
    <w:name w:val="正文 New New New New New New New New New New New New New New New"/>
    <w:next w:val="P5"/>
    <w:pPr>
      <w:widowControl w:val="0"/>
      <w:jc w:val="both"/>
    </w:pPr>
    <w:rPr>
      <w:rFonts w:ascii="Times New Roman" w:hAnsi="Times New Roman"/>
    </w:rPr>
  </w:style>
  <w:style w:type="paragraph" w:styleId="P6">
    <w:name w:val="正文 New New New New New New New New New New New New New New New New New New New New New New New New New New"/>
    <w:next w:val="P6"/>
    <w:pPr>
      <w:widowControl w:val="0"/>
      <w:jc w:val="both"/>
    </w:pPr>
    <w:rPr>
      <w:rFonts w:ascii="Times New Roman" w:hAnsi="Times New Roman"/>
    </w:rPr>
  </w:style>
  <w:style w:type="paragraph" w:styleId="P7">
    <w:name w:val="正文 New New New New New New New New New New New New New New New New New New New New New New New New New New New New New New"/>
    <w:next w:val="P7"/>
    <w:pPr>
      <w:widowControl w:val="0"/>
      <w:jc w:val="both"/>
    </w:pPr>
    <w:rPr>
      <w:rFonts w:ascii="Times New Roman" w:hAnsi="Times New Roman"/>
    </w:rPr>
  </w:style>
  <w:style w:type="paragraph" w:styleId="P8">
    <w:name w:val="正文 New New New New New New New New New New New New New New New New New New New New New"/>
    <w:next w:val="P8"/>
    <w:pPr>
      <w:widowControl w:val="0"/>
      <w:jc w:val="both"/>
    </w:pPr>
    <w:rPr>
      <w:rFonts w:ascii="Times New Roman" w:hAnsi="Times New Roman"/>
    </w:rPr>
  </w:style>
  <w:style w:type="paragraph" w:styleId="P9">
    <w:name w:val="正文 New New New New New New New New New"/>
    <w:next w:val="P9"/>
    <w:pPr>
      <w:widowControl w:val="0"/>
      <w:jc w:val="both"/>
    </w:pPr>
    <w:rPr>
      <w:rFonts w:ascii="Times New Roman" w:hAnsi="Times New Roman"/>
    </w:rPr>
  </w:style>
  <w:style w:type="paragraph" w:styleId="P10">
    <w:name w:val="正文 New New New New New New New New New New New New"/>
    <w:next w:val="P10"/>
    <w:pPr>
      <w:widowControl w:val="0"/>
      <w:jc w:val="both"/>
    </w:pPr>
    <w:rPr>
      <w:rFonts w:ascii="Times New Roman" w:hAnsi="Times New Roman"/>
    </w:rPr>
  </w:style>
  <w:style w:type="paragraph" w:styleId="P11">
    <w:name w:val="正文 New"/>
    <w:next w:val="P11"/>
    <w:pPr>
      <w:widowControl w:val="0"/>
      <w:jc w:val="both"/>
    </w:pPr>
    <w:rPr>
      <w:rFonts w:ascii="Times New Roman" w:hAnsi="Times New Roman"/>
    </w:rPr>
  </w:style>
  <w:style w:type="paragraph" w:styleId="P12">
    <w:name w:val="正文 New New New New New New"/>
    <w:next w:val="P12"/>
    <w:pPr>
      <w:widowControl w:val="0"/>
      <w:jc w:val="both"/>
    </w:pPr>
    <w:rPr>
      <w:rFonts w:ascii="Times New Roman" w:hAnsi="Times New Roman"/>
    </w:rPr>
  </w:style>
  <w:style w:type="paragraph" w:styleId="P13">
    <w:name w:val="页眉"/>
    <w:basedOn w:val="P1"/>
    <w:next w:val="P13"/>
    <w:link w:val="C4"/>
    <w:pPr>
      <w:pBdr>
        <w:bottom w:val="single" w:sz="6" w:space="0" w:shadow="0" w:frame="0"/>
      </w:pBdr>
      <w:tabs>
        <w:tab w:val="center" w:pos="4153" w:leader="none"/>
        <w:tab w:val="right" w:pos="8306" w:leader="none"/>
      </w:tabs>
      <w:jc w:val="center"/>
    </w:pPr>
    <w:rPr>
      <w:sz w:val="18"/>
    </w:rPr>
  </w:style>
  <w:style w:type="paragraph" w:styleId="P14">
    <w:name w:val="页脚"/>
    <w:basedOn w:val="P1"/>
    <w:next w:val="P14"/>
    <w:link w:val="C6"/>
    <w:pPr>
      <w:tabs>
        <w:tab w:val="center" w:pos="4153" w:leader="none"/>
        <w:tab w:val="right" w:pos="8306" w:leader="none"/>
      </w:tabs>
      <w:jc w:val="left"/>
    </w:pPr>
    <w:rPr>
      <w:sz w:val="18"/>
    </w:rPr>
  </w:style>
  <w:style w:type="paragraph" w:styleId="P15">
    <w:name w:val="Date"/>
    <w:basedOn w:val="P1"/>
    <w:next w:val="P1"/>
    <w:link w:val="C5"/>
    <w:pPr>
      <w:ind w:left="100"/>
    </w:pPr>
    <w:rPr>
      <w:rFonts w:ascii="Times New Roman" w:hAnsi="Times New Roman"/>
    </w:rPr>
  </w:style>
  <w:style w:type="paragraph" w:styleId="P16">
    <w:name w:val="Normal (Web)"/>
    <w:basedOn w:val="P1"/>
    <w:next w:val="P16"/>
    <w:pPr>
      <w:spacing w:before="100" w:after="100" w:beforeAutospacing="1" w:afterAutospacing="1"/>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13"/>
    <w:rPr>
      <w:sz w:val="18"/>
    </w:rPr>
  </w:style>
  <w:style w:type="character" w:styleId="C5">
    <w:name w:val="日期 Char"/>
    <w:basedOn w:val="C3"/>
    <w:link w:val="P15"/>
    <w:rPr>
      <w:rFonts w:ascii="Times New Roman" w:hAnsi="Times New Roman"/>
    </w:rPr>
  </w:style>
  <w:style w:type="character" w:styleId="C6">
    <w:name w:val="页脚 Char"/>
    <w:basedOn w:val="C3"/>
    <w:link w:val="P14"/>
    <w:rPr>
      <w:sz w:val="18"/>
    </w:rPr>
  </w:style>
  <w:style w:type="character" w:styleId="C7">
    <w:name w:val="要点"/>
    <w:basedOn w:val="C3"/>
    <w:rPr>
      <w:b w:val="1"/>
    </w:rPr>
  </w:style>
  <w:style w:type="character" w:styleId="C8">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JH</dc:creator>
  <dcterms:created xsi:type="dcterms:W3CDTF">2019-08-26T07:24:00Z</dcterms:created>
  <cp:lastModifiedBy>f1TZOF\f1TZOF-</cp:lastModifiedBy>
  <dcterms:modified xsi:type="dcterms:W3CDTF">2024-08-28T01:34:56Z</dcterms:modified>
  <cp:revision>2</cp:revision>
  <dc:title>X</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