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5EF6AA" Type="http://schemas.openxmlformats.org/officeDocument/2006/relationships/officeDocument" Target="/word/document.xml" /><Relationship Id="coreR3F5EF6AA" Type="http://schemas.openxmlformats.org/package/2006/relationships/metadata/core-properties" Target="/docProps/core.xml" /><Relationship Id="customR3F5EF6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color w:val="0000FF"/>
          <w:sz w:val="32"/>
        </w:rPr>
      </w:pPr>
    </w:p>
    <w:p>
      <w:pPr>
        <w:pStyle w:val="P1"/>
        <w:spacing w:lineRule="auto" w:line="300"/>
        <w:jc w:val="center"/>
        <w:rPr>
          <w:rStyle w:val="C3"/>
          <w:color w:val="0000FF"/>
          <w:sz w:val="32"/>
        </w:rPr>
      </w:pPr>
    </w:p>
    <w:p>
      <w:pPr>
        <w:pStyle w:val="P1"/>
        <w:spacing w:lineRule="exact" w:line="590"/>
        <w:jc w:val="center"/>
        <w:rPr>
          <w:rStyle w:val="C3"/>
          <w:sz w:val="44"/>
        </w:rPr>
      </w:pPr>
      <w:r>
        <w:rPr>
          <w:rStyle w:val="C3"/>
          <w:rFonts w:ascii="宋体" w:hAnsi="宋体"/>
          <w:sz w:val="44"/>
        </w:rPr>
        <w:t>汕头市人民代表大会常务委员会关于保障简政放权促进镇域经济高质量发展的决定</w:t>
      </w:r>
    </w:p>
    <w:p>
      <w:pPr>
        <w:pStyle w:val="P1"/>
        <w:spacing w:lineRule="exact" w:line="590"/>
        <w:jc w:val="center"/>
        <w:rPr>
          <w:rStyle w:val="C3"/>
          <w:sz w:val="28"/>
        </w:rPr>
      </w:pPr>
    </w:p>
    <w:p>
      <w:pPr>
        <w:pStyle w:val="P1"/>
        <w:widowControl w:val="1"/>
        <w:shd w:val="clear" w:fill="FFFFFF"/>
        <w:spacing w:lineRule="exact" w:line="590"/>
        <w:ind w:left="412" w:right="412"/>
        <w:jc w:val="center"/>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31</w:t>
      </w:r>
      <w:r>
        <w:rPr>
          <w:rStyle w:val="C3"/>
          <w:rFonts w:ascii="方正姚体" w:hAnsi="方正姚体"/>
          <w:sz w:val="32"/>
        </w:rPr>
        <w:t>日汕头市第十四届人民代表大会</w:t>
      </w:r>
    </w:p>
    <w:p>
      <w:pPr>
        <w:pStyle w:val="P1"/>
        <w:widowControl w:val="1"/>
        <w:shd w:val="clear" w:fill="FFFFFF"/>
        <w:spacing w:lineRule="exact" w:line="590"/>
        <w:ind w:left="412" w:right="412"/>
        <w:jc w:val="center"/>
        <w:rPr>
          <w:rStyle w:val="C3"/>
          <w:sz w:val="32"/>
        </w:rPr>
      </w:pPr>
      <w:r>
        <w:rPr>
          <w:rStyle w:val="C3"/>
          <w:rFonts w:ascii="方正姚体" w:hAnsi="方正姚体"/>
          <w:sz w:val="32"/>
        </w:rPr>
        <w:t>常务委员会第四十一次会议通过）</w:t>
      </w:r>
    </w:p>
    <w:p>
      <w:pPr>
        <w:pStyle w:val="P1"/>
        <w:spacing w:lineRule="exact" w:line="590"/>
        <w:jc w:val="center"/>
        <w:rPr>
          <w:rStyle w:val="C3"/>
          <w:sz w:val="28"/>
        </w:rPr>
      </w:pPr>
    </w:p>
    <w:p>
      <w:pPr>
        <w:pStyle w:val="P1"/>
        <w:spacing w:lineRule="exact" w:line="590"/>
        <w:ind w:firstLine="632"/>
        <w:rPr>
          <w:rStyle w:val="C3"/>
          <w:sz w:val="32"/>
        </w:rPr>
      </w:pPr>
      <w:r>
        <w:rPr>
          <w:rStyle w:val="C3"/>
          <w:rFonts w:ascii="方正姚体" w:hAnsi="方正姚体"/>
          <w:sz w:val="32"/>
        </w:rPr>
        <w:t>为了保障简政放权，进一步激发镇街改革创新动力活力，促进镇域经济高质量发展，根据有关法律、行政法规的基本原则，结合汕头经济特区实际，现作出如下决定：</w:t>
      </w:r>
    </w:p>
    <w:p>
      <w:pPr>
        <w:pStyle w:val="P1"/>
        <w:spacing w:lineRule="exact" w:line="590"/>
        <w:ind w:firstLine="632"/>
        <w:rPr>
          <w:rStyle w:val="C3"/>
          <w:sz w:val="32"/>
        </w:rPr>
      </w:pPr>
      <w:r>
        <w:rPr>
          <w:rStyle w:val="C3"/>
          <w:rFonts w:ascii="方正姚体" w:hAnsi="方正姚体"/>
          <w:sz w:val="32"/>
        </w:rPr>
        <w:t>一、市、区（县）人民政府应当坚持依法依规、应放尽放、放好用好的原则，除法律、行政法规明确规定不得授权或者委托的行政管理职权事项外，通过授权、委托等方式，将自然资源和规划建设、生态环境保护、市场监管、卫生健康、社会治理等行政管理职权充分赋予镇街，确保相关行政管理职权放得下、接得住、用得好。</w:t>
      </w:r>
    </w:p>
    <w:p>
      <w:pPr>
        <w:pStyle w:val="P1"/>
        <w:spacing w:lineRule="exact" w:line="590"/>
        <w:ind w:firstLine="632"/>
        <w:rPr>
          <w:rStyle w:val="C3"/>
          <w:sz w:val="32"/>
        </w:rPr>
      </w:pPr>
      <w:r>
        <w:rPr>
          <w:rStyle w:val="C3"/>
          <w:rFonts w:ascii="方正姚体" w:hAnsi="方正姚体"/>
          <w:sz w:val="32"/>
        </w:rPr>
        <w:t>赋予镇街的行政管理职权，实行清单式批量下放。市人民政府应当及时制定、更新目录，明确下放职权的事项、形式、时间等，通过政府网站、报纸等媒介向社会公布，并报市人民代表大会常务委员会备案。</w:t>
      </w:r>
    </w:p>
    <w:p>
      <w:pPr>
        <w:pStyle w:val="P1"/>
        <w:spacing w:lineRule="exact" w:line="590"/>
        <w:ind w:firstLine="632"/>
        <w:rPr>
          <w:rStyle w:val="C3"/>
          <w:sz w:val="32"/>
        </w:rPr>
      </w:pPr>
      <w:r>
        <w:rPr>
          <w:rStyle w:val="C3"/>
          <w:rFonts w:ascii="方正姚体" w:hAnsi="方正姚体"/>
          <w:sz w:val="32"/>
        </w:rPr>
        <w:t>二、本市各级国家机关应当充分发挥各自职能，支持和保障赋予镇街的行政管理职权，做到权随事转，编随事转、财随事转、责随事转。</w:t>
      </w:r>
    </w:p>
    <w:p>
      <w:pPr>
        <w:pStyle w:val="P1"/>
        <w:spacing w:lineRule="exact" w:line="590"/>
        <w:ind w:firstLine="632"/>
        <w:rPr>
          <w:rStyle w:val="C3"/>
          <w:sz w:val="32"/>
        </w:rPr>
      </w:pPr>
      <w:r>
        <w:rPr>
          <w:rStyle w:val="C3"/>
          <w:rFonts w:ascii="方正姚体" w:hAnsi="方正姚体"/>
          <w:sz w:val="32"/>
        </w:rPr>
        <w:t>任何单位和个人非因法定事由且非经法定程序，不得干预、收回或者以事前备案、征得同意等方式变相继续行使已经下放的行政管理职权。</w:t>
      </w:r>
    </w:p>
    <w:p>
      <w:pPr>
        <w:pStyle w:val="P1"/>
        <w:spacing w:lineRule="exact" w:line="590"/>
        <w:ind w:firstLine="632"/>
        <w:rPr>
          <w:rStyle w:val="C3"/>
          <w:sz w:val="32"/>
        </w:rPr>
      </w:pPr>
      <w:r>
        <w:rPr>
          <w:rStyle w:val="C3"/>
          <w:rFonts w:ascii="方正姚体" w:hAnsi="方正姚体"/>
          <w:sz w:val="32"/>
        </w:rPr>
        <w:t>三、市、区（县）人民政府及其有关部门应当加强配套制度建设，制定标准规范，加强业务培训和工作指导，完善事中事后监管措施，支持镇街有效行使相关行政管理职权。</w:t>
      </w:r>
    </w:p>
    <w:p>
      <w:pPr>
        <w:pStyle w:val="P1"/>
        <w:spacing w:lineRule="exact" w:line="590"/>
        <w:ind w:firstLine="632"/>
        <w:rPr>
          <w:rStyle w:val="C3"/>
          <w:sz w:val="32"/>
        </w:rPr>
      </w:pPr>
      <w:r>
        <w:rPr>
          <w:rStyle w:val="C3"/>
          <w:rFonts w:ascii="方正姚体" w:hAnsi="方正姚体"/>
          <w:sz w:val="32"/>
        </w:rPr>
        <w:t>镇人民政府、街道办事处应当加强行政能力建设，强化力量配备，完善设施设备，优化政务服务，提高办事效率，切实履行好相应的行政管理职权。</w:t>
      </w:r>
    </w:p>
    <w:p>
      <w:pPr>
        <w:pStyle w:val="P1"/>
        <w:spacing w:lineRule="exact" w:line="590"/>
        <w:ind w:firstLine="632"/>
        <w:rPr>
          <w:rStyle w:val="C3"/>
          <w:sz w:val="32"/>
        </w:rPr>
      </w:pPr>
      <w:r>
        <w:rPr>
          <w:rStyle w:val="C3"/>
          <w:rFonts w:ascii="方正姚体" w:hAnsi="方正姚体"/>
          <w:sz w:val="32"/>
        </w:rPr>
        <w:t>四、市、区（县）人民代表大会及其常务委员会应当通过听取和审议专项工作报告、开展执法检查、专题询问、组织代表专题调研和视察等方式，检查、督促有关方面落实优化简政放权，促进镇域经济高质量发展的各项工作。</w:t>
      </w:r>
    </w:p>
    <w:p>
      <w:pPr>
        <w:pStyle w:val="P1"/>
        <w:spacing w:lineRule="exact" w:line="590"/>
        <w:ind w:firstLine="632"/>
        <w:rPr>
          <w:rStyle w:val="C3"/>
          <w:sz w:val="32"/>
        </w:rPr>
      </w:pPr>
      <w:r>
        <w:rPr>
          <w:rStyle w:val="C3"/>
          <w:rFonts w:ascii="方正姚体" w:hAnsi="方正姚体"/>
          <w:sz w:val="32"/>
        </w:rPr>
        <w:t>镇人民代表大会、人大街道工委应当结合本地实际，依法通过听取和讨论专项工作报告、开展执法检查、工作评议、组织代表专题调研和视察等方式，保证本决定在本辖区贯彻落实。</w:t>
      </w:r>
    </w:p>
    <w:p>
      <w:pPr>
        <w:pStyle w:val="P1"/>
        <w:spacing w:lineRule="exact" w:line="590"/>
        <w:ind w:firstLine="632"/>
        <w:rPr>
          <w:rStyle w:val="C3"/>
          <w:sz w:val="32"/>
        </w:rPr>
      </w:pPr>
      <w:r>
        <w:rPr>
          <w:rStyle w:val="C3"/>
          <w:rFonts w:ascii="方正姚体" w:hAnsi="方正姚体"/>
          <w:sz w:val="32"/>
        </w:rPr>
        <w:t>五、本决定自公布之日起施行。</w:t>
      </w:r>
    </w:p>
    <w:p>
      <w:pPr>
        <w:pStyle w:val="P1"/>
        <w:spacing w:lineRule="exact" w:line="590"/>
        <w:ind w:firstLine="632"/>
        <w:rPr>
          <w:rStyle w:val="C3"/>
          <w:sz w:val="32"/>
        </w:rPr>
      </w:pPr>
    </w:p>
    <w:sectPr>
      <w:footerReference xmlns:r="http://schemas.openxmlformats.org/officeDocument/2006/relationships" w:type="default" r:id="RelFtr1"/>
      <w:type w:val="nextPage"/>
      <w:pgSz w:w="11906" w:h="16838" w:code="0"/>
      <w:pgMar w:left="1531" w:right="1531" w:top="2041" w:bottom="2041" w:header="851"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360" w:right="360"/>
      <w:rPr>
        <w:rStyle w:val="C3"/>
        <w:sz w:val="1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jc w:val="both"/>
    </w:pPr>
    <w:rPr>
      <w:rFonts w:ascii="Times New Roman" w:hAnsi="Times New Roman"/>
      <w:sz w:val="21"/>
    </w:rPr>
  </w:style>
  <w:style w:type="paragraph" w:styleId="P2">
    <w:name w:val="标题 1"/>
    <w:basedOn w:val="P1"/>
    <w:next w:val="P1"/>
    <w:qFormat/>
    <w:pPr>
      <w:keepNext w:val="1"/>
      <w:keepLines w:val="1"/>
      <w:spacing w:lineRule="auto" w:line="578"/>
      <w:outlineLvl w:val="0"/>
    </w:pPr>
    <w:rPr>
      <w:b w:val="1"/>
      <w:sz w:val="44"/>
    </w:rPr>
  </w:style>
  <w:style w:type="paragraph" w:styleId="P3">
    <w:name w:val="正文文本 2"/>
    <w:basedOn w:val="P1"/>
    <w:next w:val="P3"/>
    <w:qFormat/>
    <w:pPr>
      <w:ind w:right="-466"/>
      <w:jc w:val="center"/>
    </w:pPr>
    <w:rPr>
      <w:rFonts w:ascii="宋体" w:hAnsi="宋体"/>
      <w:sz w:val="44"/>
    </w:rPr>
  </w:style>
  <w:style w:type="paragraph" w:styleId="P4">
    <w:name w:val="正文文本缩进 2"/>
    <w:basedOn w:val="P1"/>
    <w:next w:val="P4"/>
    <w:qFormat/>
    <w:pPr>
      <w:spacing w:lineRule="auto" w:line="300"/>
      <w:ind w:firstLine="645"/>
    </w:pPr>
    <w:rPr>
      <w:rFonts w:ascii="仿宋_GB2312" w:hAnsi="仿宋_GB2312"/>
      <w:sz w:val="32"/>
    </w:rPr>
  </w:style>
  <w:style w:type="paragraph" w:styleId="P5">
    <w:name w:val="p0"/>
    <w:basedOn w:val="P1"/>
    <w:next w:val="P5"/>
    <w:qFormat/>
    <w:pPr>
      <w:widowControl w:val="1"/>
    </w:pPr>
    <w:rPr>
      <w:sz w:val="21"/>
    </w:rPr>
  </w:style>
  <w:style w:type="paragraph" w:styleId="P6">
    <w:name w:val="Char Char Char Char Char Char Char Char Char Char Char Char Char Char Char Char Char Char Char"/>
    <w:basedOn w:val="P1"/>
    <w:next w:val="P6"/>
    <w:qFormat/>
    <w:pPr>
      <w:widowControl w:val="1"/>
      <w:spacing w:lineRule="exact" w:line="240"/>
      <w:jc w:val="left"/>
    </w:pPr>
    <w:rPr>
      <w:rFonts w:ascii="Verdana" w:hAnsi="Verdana"/>
      <w:sz w:val="21"/>
    </w:rPr>
  </w:style>
  <w:style w:type="paragraph" w:styleId="P7">
    <w:name w:val="正文文本缩进 3"/>
    <w:basedOn w:val="P1"/>
    <w:next w:val="P7"/>
    <w:qFormat/>
    <w:pPr>
      <w:ind w:firstLine="509"/>
    </w:pPr>
    <w:rPr>
      <w:rFonts w:ascii="仿宋_GB2312" w:hAnsi="仿宋_GB2312"/>
      <w:sz w:val="32"/>
    </w:rPr>
  </w:style>
  <w:style w:type="paragraph" w:styleId="P8">
    <w:name w:val="批注框文本"/>
    <w:basedOn w:val="P1"/>
    <w:next w:val="P8"/>
    <w:qFormat/>
    <w:pPr/>
    <w:rPr>
      <w:sz w:val="18"/>
    </w:rPr>
  </w:style>
  <w:style w:type="paragraph" w:styleId="P9">
    <w:name w:val="正文缩进"/>
    <w:basedOn w:val="P1"/>
    <w:next w:val="P9"/>
    <w:pPr>
      <w:ind w:firstLine="420"/>
    </w:pPr>
    <w:rPr>
      <w:sz w:val="21"/>
    </w:rPr>
  </w:style>
  <w:style w:type="paragraph" w:styleId="P10">
    <w:name w:val="正文文本"/>
    <w:basedOn w:val="P1"/>
    <w:next w:val="P10"/>
    <w:pPr>
      <w:jc w:val="center"/>
    </w:pPr>
    <w:rPr>
      <w:rFonts w:ascii="仿宋_GB2312" w:hAnsi="仿宋_GB2312"/>
      <w:sz w:val="44"/>
    </w:rPr>
  </w:style>
  <w:style w:type="paragraph" w:styleId="P11">
    <w:name w:val="日期"/>
    <w:basedOn w:val="P1"/>
    <w:next w:val="P1"/>
    <w:qFormat/>
    <w:pPr>
      <w:ind w:left="100"/>
    </w:pPr>
    <w:rPr>
      <w:sz w:val="21"/>
    </w:rPr>
  </w:style>
  <w:style w:type="paragraph" w:styleId="P12">
    <w:name w:val="_Style 2"/>
    <w:basedOn w:val="P1"/>
    <w:next w:val="P12"/>
    <w:qFormat/>
    <w:pPr/>
    <w:rPr>
      <w:sz w:val="21"/>
    </w:rPr>
  </w:style>
  <w:style w:type="paragraph" w:styleId="P13">
    <w:name w:val="HTML 预设格式"/>
    <w:basedOn w:val="P1"/>
    <w:next w:val="P13"/>
    <w:qFormat/>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页眉"/>
    <w:basedOn w:val="P1"/>
    <w:next w:val="P14"/>
    <w:qFormat/>
    <w:pPr>
      <w:pBdr>
        <w:bottom w:val="single" w:sz="6" w:space="0" w:shadow="0" w:frame="0"/>
      </w:pBdr>
      <w:tabs>
        <w:tab w:val="center" w:pos="4153" w:leader="none"/>
        <w:tab w:val="right" w:pos="8306" w:leader="none"/>
      </w:tabs>
      <w:jc w:val="center"/>
    </w:pPr>
    <w:rPr>
      <w:sz w:val="18"/>
    </w:rPr>
  </w:style>
  <w:style w:type="paragraph" w:styleId="P15">
    <w:name w:val="纯文本"/>
    <w:basedOn w:val="P1"/>
    <w:next w:val="P15"/>
    <w:qFormat/>
    <w:pPr/>
    <w:rPr>
      <w:rFonts w:ascii="Courier New" w:hAnsi="Courier New"/>
      <w:sz w:val="21"/>
    </w:rPr>
  </w:style>
  <w:style w:type="paragraph" w:styleId="P16">
    <w:name w:val="font3"/>
    <w:basedOn w:val="P1"/>
    <w:next w:val="P16"/>
    <w:qFormat/>
    <w:pPr>
      <w:widowControl w:val="1"/>
      <w:spacing w:beforeAutospacing="1" w:afterAutospacing="1"/>
      <w:jc w:val="left"/>
    </w:pPr>
    <w:rPr>
      <w:rFonts w:ascii="宋体" w:hAnsi="宋体"/>
      <w:sz w:val="24"/>
    </w:rPr>
  </w:style>
  <w:style w:type="paragraph" w:styleId="P17">
    <w:name w:val="页脚"/>
    <w:basedOn w:val="P1"/>
    <w:next w:val="P17"/>
    <w:qFormat/>
    <w:pPr>
      <w:tabs>
        <w:tab w:val="center" w:pos="4153" w:leader="none"/>
        <w:tab w:val="right" w:pos="8306" w:leader="none"/>
      </w:tabs>
      <w:jc w:val="left"/>
    </w:pPr>
    <w:rPr>
      <w:sz w:val="18"/>
    </w:rPr>
  </w:style>
  <w:style w:type="paragraph" w:styleId="P18">
    <w:name w:val="正文文本缩进"/>
    <w:basedOn w:val="P1"/>
    <w:next w:val="P18"/>
    <w:qFormat/>
    <w:pPr>
      <w:ind w:firstLine="640"/>
    </w:pPr>
    <w:rPr>
      <w:sz w:val="32"/>
    </w:rPr>
  </w:style>
  <w:style w:type="paragraph" w:styleId="P19">
    <w:name w:val="Char2"/>
    <w:basedOn w:val="P1"/>
    <w:next w:val="P19"/>
    <w:qFormat/>
    <w:pPr/>
    <w:rPr>
      <w:sz w:val="21"/>
    </w:rPr>
  </w:style>
  <w:style w:type="paragraph" w:styleId="P20">
    <w:name w:val="普通(网站)"/>
    <w:basedOn w:val="P1"/>
    <w:next w:val="P20"/>
    <w:qFormat/>
    <w:pPr>
      <w:widowControl w:val="1"/>
      <w:spacing w:beforeAutospacing="1" w:afterAutospacing="1"/>
      <w:jc w:val="left"/>
    </w:pPr>
    <w:rPr>
      <w:rFonts w:ascii="宋体" w:hAnsi="宋体"/>
      <w:color w:val="000000"/>
      <w:sz w:val="24"/>
    </w:rPr>
  </w:style>
  <w:style w:type="paragraph" w:styleId="P21">
    <w:name w:val="文档结构图"/>
    <w:basedOn w:val="P1"/>
    <w:next w:val="P21"/>
    <w:pPr>
      <w:shd w:val="clear" w:fill="000080"/>
    </w:pPr>
    <w:rPr>
      <w:sz w:val="21"/>
    </w:rPr>
  </w:style>
  <w:style w:type="paragraph" w:styleId="P22">
    <w:name w:val="Char1"/>
    <w:basedOn w:val="P1"/>
    <w:next w:val="P22"/>
    <w:qFormat/>
    <w:pPr>
      <w:widowControl w:val="1"/>
      <w:spacing w:lineRule="exact" w:line="240" w:after="160"/>
      <w:jc w:val="left"/>
    </w:pPr>
    <w:rPr>
      <w:sz w:val="21"/>
    </w:rPr>
  </w:style>
  <w:style w:type="paragraph" w:styleId="P23">
    <w:name w:val="Char Char Char Char Char Char Char Char Char Char Char Char Char Char Char Char Char Char Char1"/>
    <w:basedOn w:val="P1"/>
    <w:next w:val="P23"/>
    <w:qFormat/>
    <w:pPr>
      <w:widowControl w:val="1"/>
      <w:spacing w:lineRule="exact" w:line="240"/>
      <w:jc w:val="left"/>
    </w:pPr>
    <w:rPr>
      <w:rFonts w:ascii="Verdana" w:hAnsi="Verdana"/>
      <w:sz w:val="21"/>
    </w:rPr>
  </w:style>
  <w:style w:type="paragraph" w:styleId="P24">
    <w:name w:val="Char Char1"/>
    <w:basedOn w:val="P1"/>
    <w:next w:val="P24"/>
    <w:qFormat/>
    <w:pPr>
      <w:tabs>
        <w:tab w:val="left" w:pos="842" w:leader="none"/>
      </w:tabs>
      <w:ind w:firstLine="482"/>
    </w:pPr>
    <w:rPr>
      <w:sz w:val="21"/>
    </w:rPr>
  </w:style>
  <w:style w:type="paragraph" w:styleId="P25">
    <w:name w:val="Normal (Web)1"/>
    <w:basedOn w:val="P1"/>
    <w:next w:val="P25"/>
    <w:qFormat/>
    <w:pPr>
      <w:widowControl w:val="1"/>
      <w:spacing w:before="100" w:after="100" w:beforeAutospacing="1" w:afterAutospacing="1"/>
      <w:jc w:val="left"/>
    </w:pPr>
    <w:rPr>
      <w:rFonts w:ascii="宋体" w:hAnsi="宋体"/>
      <w:sz w:val="24"/>
    </w:rPr>
  </w:style>
  <w:style w:type="paragraph" w:styleId="P26">
    <w:name w:val="Char Char"/>
    <w:basedOn w:val="P1"/>
    <w:next w:val="P26"/>
    <w:qFormat/>
    <w:pPr>
      <w:tabs>
        <w:tab w:val="left" w:pos="842" w:leader="none"/>
      </w:tabs>
      <w:ind w:firstLine="482"/>
    </w:pPr>
    <w:rPr>
      <w:sz w:val="24"/>
    </w:rPr>
  </w:style>
  <w:style w:type="paragraph" w:styleId="P27">
    <w:name w:val="Char"/>
    <w:basedOn w:val="P1"/>
    <w:next w:val="P27"/>
    <w:qFormat/>
    <w:pPr/>
    <w:rPr>
      <w:sz w:val="21"/>
    </w:rPr>
  </w:style>
  <w:style w:type="paragraph" w:styleId="P28">
    <w:name w:val="Char1 Char Char Char Char Char Char Char Char Char Char Char Char Char Char1 Char Char Char1 Char Char Char Char Char Char Char Char Char Char Char Char1 Char Char Char Char Char Char Char Char Char Char Char Char Char"/>
    <w:basedOn w:val="P2"/>
    <w:next w:val="P28"/>
    <w:qFormat/>
    <w:pPr>
      <w:widowControl w:val="1"/>
      <w:spacing w:lineRule="auto" w:line="348"/>
      <w:ind w:firstLine="200"/>
      <w:jc w:val="left"/>
    </w:pPr>
    <w:rPr>
      <w:rFonts w:ascii="Calibri" w:hAnsi="Calibri"/>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z w:val="24"/>
    </w:rPr>
  </w:style>
  <w:style w:type="character" w:styleId="C4">
    <w:name w:val="postbody1"/>
    <w:qFormat/>
    <w:rPr>
      <w:sz w:val="21"/>
    </w:rPr>
  </w:style>
  <w:style w:type="character" w:styleId="C5">
    <w:name w:val="b21"/>
    <w:qFormat/>
    <w:rPr>
      <w:rFonts w:ascii="宋体" w:hAnsi="宋体"/>
      <w:color w:val="000000"/>
      <w:sz w:val="20"/>
    </w:rPr>
  </w:style>
  <w:style w:type="character" w:styleId="C6">
    <w:name w:val="ggbody1"/>
    <w:qFormat/>
    <w:rPr>
      <w:rFonts w:ascii="_x000B__x000C_" w:hAnsi="_x000B__x000C_"/>
      <w:sz w:val="21"/>
    </w:rPr>
  </w:style>
  <w:style w:type="character" w:styleId="C7">
    <w:name w:val="bjh-p"/>
    <w:qFormat/>
    <w:rPr>
      <w:sz w:val="24"/>
    </w:rPr>
  </w:style>
  <w:style w:type="character" w:styleId="C8">
    <w:name w:val="页码"/>
    <w:basedOn w:val="C3"/>
    <w:qFormat/>
    <w:rPr>
      <w:sz w:val="24"/>
    </w:rPr>
  </w:style>
  <w:style w:type="character" w:styleId="C9">
    <w:name w:val="要点"/>
    <w:basedOn w:val="C3"/>
    <w:rPr>
      <w:b w:val="1"/>
      <w:sz w:val="21"/>
    </w:rPr>
  </w:style>
  <w:style w:type="character" w:styleId="C10">
    <w:name w:val="tiao"/>
    <w:basedOn w:val="C3"/>
    <w:qFormat/>
    <w:rPr>
      <w:sz w:val="24"/>
    </w:rPr>
  </w:style>
  <w:style w:type="character" w:styleId="C11">
    <w:name w:val="超链接"/>
    <w:basedOn w:val="C3"/>
    <w:qFormat/>
    <w:rPr>
      <w:color w:val="00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2021-01-03T16:17:00Z</dcterms:created>
  <cp:lastModifiedBy>f1TZOF\f1TZOF-</cp:lastModifiedBy>
  <dcterms:modified xsi:type="dcterms:W3CDTF">2024-08-28T01:34:56Z</dcterms:modified>
  <cp:revision>2</cp:revision>
  <dc:title>《汕头市人大常委会关于保障简政放权促进镇域经济高质量发展的决定》的备案报告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2052-11.1.0.10228</vt:lpwstr>
  </property>
</Properties>
</file>