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B6899D" Type="http://schemas.openxmlformats.org/officeDocument/2006/relationships/officeDocument" Target="/word/document.xml" /><Relationship Id="coreR60B6899D" Type="http://schemas.openxmlformats.org/package/2006/relationships/metadata/core-properties" Target="/docProps/core.xml" /><Relationship Id="customR60B6899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Times New Roman" w:hAnsi="Times New Roman"/>
          <w:color w:val="000000"/>
          <w:sz w:val="44"/>
        </w:rPr>
      </w:pPr>
      <w:r>
        <w:rPr>
          <w:rStyle w:val="C3"/>
          <w:rFonts w:ascii="方正姚体" w:hAnsi="方正姚体"/>
          <w:color w:val="000000"/>
          <w:sz w:val="44"/>
        </w:rPr>
        <w:t>重庆市中医药条例</w:t>
      </w:r>
    </w:p>
    <w:p>
      <w:pPr>
        <w:pStyle w:val="P1"/>
        <w:keepNext w:val="0"/>
        <w:keepLines w:val="0"/>
        <w:widowControl w:val="0"/>
        <w:spacing w:lineRule="exact" w:line="240"/>
        <w:ind w:firstLine="640"/>
        <w:rPr>
          <w:rStyle w:val="C3"/>
          <w:rFonts w:ascii="方正仿宋_GBK" w:hAnsi="方正仿宋_GBK"/>
          <w:sz w:val="32"/>
        </w:rPr>
      </w:pPr>
    </w:p>
    <w:p>
      <w:pPr>
        <w:pStyle w:val="P1"/>
        <w:spacing w:lineRule="exact" w:line="580"/>
        <w:jc w:val="center"/>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2021</w:t>
      </w:r>
      <w:r>
        <w:rPr>
          <w:rStyle w:val="C3"/>
          <w:rFonts w:ascii="方正姚体" w:hAnsi="方正姚体"/>
          <w:color w:val="000000"/>
          <w:sz w:val="32"/>
        </w:rPr>
        <w:t>年</w:t>
      </w:r>
      <w:r>
        <w:rPr>
          <w:rStyle w:val="C3"/>
          <w:rFonts w:ascii="Times New Roman" w:hAnsi="Times New Roman"/>
          <w:color w:val="000000"/>
          <w:sz w:val="32"/>
        </w:rPr>
        <w:t>11</w:t>
      </w:r>
      <w:r>
        <w:rPr>
          <w:rStyle w:val="C3"/>
          <w:rFonts w:ascii="方正姚体" w:hAnsi="方正姚体"/>
          <w:color w:val="000000"/>
          <w:sz w:val="32"/>
        </w:rPr>
        <w:t>月</w:t>
      </w:r>
      <w:r>
        <w:rPr>
          <w:rStyle w:val="C3"/>
          <w:rFonts w:ascii="Times New Roman" w:hAnsi="Times New Roman"/>
          <w:color w:val="000000"/>
          <w:sz w:val="32"/>
        </w:rPr>
        <w:t>25</w:t>
      </w:r>
      <w:r>
        <w:rPr>
          <w:rStyle w:val="C3"/>
          <w:rFonts w:ascii="方正姚体" w:hAnsi="方正姚体"/>
          <w:color w:val="000000"/>
          <w:sz w:val="32"/>
        </w:rPr>
        <w:t>日重庆市第五届人民代表大会常务委员会第二十九次会议通过）</w:t>
      </w:r>
    </w:p>
    <w:p>
      <w:pPr>
        <w:pStyle w:val="P1"/>
        <w:keepNext w:val="0"/>
        <w:keepLines w:val="0"/>
        <w:widowControl w:val="0"/>
        <w:spacing w:lineRule="exact" w:line="400"/>
        <w:ind w:firstLine="640"/>
        <w:rPr>
          <w:rStyle w:val="C3"/>
          <w:rFonts w:ascii="方正仿宋_GBK" w:hAnsi="方正仿宋_GBK"/>
          <w:sz w:val="32"/>
        </w:rPr>
      </w:pPr>
    </w:p>
    <w:p>
      <w:pPr>
        <w:pStyle w:val="P1"/>
        <w:spacing w:lineRule="exact" w:line="58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
        <w:spacing w:lineRule="exact" w:line="58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spacing w:lineRule="exact" w:line="58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中医药服务与规范</w:t>
      </w:r>
    </w:p>
    <w:p>
      <w:pPr>
        <w:pStyle w:val="P1"/>
        <w:spacing w:lineRule="exact" w:line="58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中药保护与发展</w:t>
      </w:r>
    </w:p>
    <w:p>
      <w:pPr>
        <w:pStyle w:val="P1"/>
        <w:spacing w:lineRule="exact" w:line="58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中医药传承与创新</w:t>
      </w:r>
    </w:p>
    <w:p>
      <w:pPr>
        <w:pStyle w:val="P1"/>
        <w:spacing w:lineRule="exact" w:line="58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中医药支持与保障</w:t>
      </w:r>
    </w:p>
    <w:p>
      <w:pPr>
        <w:pStyle w:val="P1"/>
        <w:spacing w:lineRule="exact" w:line="58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580"/>
        <w:ind w:firstLine="640"/>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spacing w:lineRule="exact" w:line="594"/>
        <w:rPr>
          <w:rStyle w:val="C3"/>
          <w:rFonts w:ascii="方正仿宋_GBK" w:hAnsi="方正仿宋_GBK"/>
          <w:color w:val="000000"/>
          <w:sz w:val="32"/>
        </w:rPr>
      </w:pPr>
    </w:p>
    <w:p>
      <w:pPr>
        <w:pStyle w:val="P4"/>
        <w:ind w:firstLine="0"/>
        <w:jc w:val="center"/>
        <w:rPr>
          <w:rStyle w:val="C3"/>
          <w:rFonts w:ascii="Times New Roman" w:hAnsi="Times New Roman"/>
          <w:sz w:val="32"/>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w:t>
      </w:r>
      <w:r>
        <w:rPr>
          <w:rStyle w:val="C3"/>
          <w:rFonts w:ascii="Times New Roman" w:hAnsi="Times New Roman"/>
        </w:rPr>
        <w:t xml:space="preserve">    </w:t>
      </w:r>
      <w:r>
        <w:rPr>
          <w:rStyle w:val="C3"/>
          <w:rFonts w:ascii="方正姚体" w:hAnsi="方正姚体"/>
        </w:rPr>
        <w:t>则</w:t>
      </w:r>
    </w:p>
    <w:p>
      <w:pPr>
        <w:pStyle w:val="P1"/>
        <w:spacing w:lineRule="exact" w:line="594"/>
        <w:jc w:val="center"/>
        <w:rPr>
          <w:rStyle w:val="C3"/>
          <w:rFonts w:ascii="Times New Roman" w:hAnsi="Times New Roman"/>
          <w:sz w:val="32"/>
        </w:rPr>
      </w:pPr>
    </w:p>
    <w:p>
      <w:pPr>
        <w:pStyle w:val="P1"/>
        <w:spacing w:lineRule="exact" w:line="594"/>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继承和弘扬中医药，保障和促进本市中医药事业发展，提高公民健康水平，根据《中华人民共和国中医药法》、《中华人民共和国基本医疗卫生与健康促进法》等法律、行政法规，结合本市实际，制定本条例。</w:t>
      </w:r>
    </w:p>
    <w:p>
      <w:pPr>
        <w:pStyle w:val="P1"/>
        <w:spacing w:lineRule="exact" w:line="594"/>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本市行政区域内从事中医药医疗、预防、保健、康复、教育、科研、产业、文化、对外交流以及相关监督管理等活动，适用本条例。</w:t>
      </w:r>
    </w:p>
    <w:p>
      <w:pPr>
        <w:pStyle w:val="P1"/>
        <w:spacing w:lineRule="exact" w:line="594"/>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发展中医药事业应当遵循中医药自身规律，传承精华、守正创新，保持和发挥中医药特色和优势，促进中医药理论和实践的发展。坚持中西医并重，支持中西医相互补充、协调发展。</w:t>
      </w:r>
    </w:p>
    <w:p>
      <w:pPr>
        <w:pStyle w:val="P1"/>
        <w:spacing w:lineRule="exact" w:line="594"/>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区县（自治县）人民政府应当将中医药事业纳入国民经济和社会发展规划，建立健全符合中医药特点的管理体系、服务体系和保障体系，将中医药工作纳入政府绩效考核，统筹推进中医药事业和产业高质量发展。</w:t>
      </w:r>
    </w:p>
    <w:p>
      <w:pPr>
        <w:pStyle w:val="P1"/>
        <w:spacing w:lineRule="exact" w:line="594"/>
        <w:ind w:firstLine="640"/>
        <w:rPr>
          <w:rStyle w:val="C3"/>
          <w:rFonts w:ascii="Times New Roman" w:hAnsi="Times New Roman"/>
          <w:sz w:val="32"/>
        </w:rPr>
      </w:pPr>
      <w:r>
        <w:rPr>
          <w:rStyle w:val="C3"/>
          <w:rFonts w:ascii="方正姚体" w:hAnsi="方正姚体"/>
          <w:sz w:val="32"/>
        </w:rPr>
        <w:t>市、区县（自治县）人民政府应当建立健全中医药工作联席会议制度，研究制定和指导落实促进中医药事业发展的政策措施，协调解决本行政区域内中医药发展的重大问题。</w:t>
      </w:r>
    </w:p>
    <w:p>
      <w:pPr>
        <w:pStyle w:val="P1"/>
        <w:spacing w:lineRule="exact" w:line="594"/>
        <w:ind w:firstLine="640"/>
        <w:rPr>
          <w:rStyle w:val="C3"/>
          <w:rFonts w:ascii="Times New Roman" w:hAnsi="Times New Roman"/>
          <w:sz w:val="32"/>
        </w:rPr>
      </w:pPr>
      <w:r>
        <w:rPr>
          <w:rStyle w:val="C3"/>
          <w:rFonts w:ascii="方正姚体" w:hAnsi="方正姚体"/>
          <w:sz w:val="32"/>
        </w:rPr>
        <w:t>乡镇人民政府、街道办事处应当为辖区内中医药的推广、应用提供支持，发挥中医药在基本医疗卫生服务中的作用。</w:t>
      </w:r>
    </w:p>
    <w:p>
      <w:pPr>
        <w:pStyle w:val="P1"/>
        <w:spacing w:lineRule="exact" w:line="594"/>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市、区县（自治县）人民政府中医药主管部门负责本行政区域内的中医药管理工作。</w:t>
      </w:r>
    </w:p>
    <w:p>
      <w:pPr>
        <w:pStyle w:val="P1"/>
        <w:spacing w:lineRule="exact" w:line="594"/>
        <w:ind w:firstLine="640"/>
        <w:rPr>
          <w:rStyle w:val="C3"/>
          <w:rFonts w:ascii="Times New Roman" w:hAnsi="Times New Roman"/>
          <w:sz w:val="32"/>
        </w:rPr>
      </w:pPr>
      <w:r>
        <w:rPr>
          <w:rStyle w:val="C3"/>
          <w:rFonts w:ascii="方正姚体" w:hAnsi="方正姚体"/>
          <w:sz w:val="32"/>
        </w:rPr>
        <w:t>市、区县（自治县）其他有关部门应当在各自职责范围内做好中医药管理相关工作。</w:t>
      </w:r>
    </w:p>
    <w:p>
      <w:pPr>
        <w:pStyle w:val="P1"/>
        <w:spacing w:lineRule="exact" w:line="594"/>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中医药行业组织应当加强行业自律，建立健全行业规范，推动行业诚信体系建设，发挥在技术咨询、学术交流等方面的作用，引导和督促成员依法开展活动。</w:t>
      </w:r>
    </w:p>
    <w:p>
      <w:pPr>
        <w:pStyle w:val="P1"/>
        <w:spacing w:lineRule="exact" w:line="594"/>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本市弘扬中医药文化，普及中医药知识，营造关心、支持中医药事业发展的社会氛围。</w:t>
      </w:r>
    </w:p>
    <w:p>
      <w:pPr>
        <w:pStyle w:val="P1"/>
        <w:spacing w:lineRule="exact" w:line="594"/>
        <w:ind w:firstLine="640"/>
        <w:rPr>
          <w:rStyle w:val="C3"/>
          <w:rFonts w:ascii="Times New Roman" w:hAnsi="Times New Roman"/>
          <w:sz w:val="32"/>
        </w:rPr>
      </w:pPr>
      <w:r>
        <w:rPr>
          <w:rStyle w:val="C3"/>
          <w:rFonts w:ascii="方正姚体" w:hAnsi="方正姚体"/>
          <w:sz w:val="32"/>
        </w:rPr>
        <w:t>每年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22</w:t>
      </w:r>
      <w:r>
        <w:rPr>
          <w:rStyle w:val="C3"/>
          <w:rFonts w:ascii="方正姚体" w:hAnsi="方正姚体"/>
          <w:sz w:val="32"/>
        </w:rPr>
        <w:t>日</w:t>
      </w:r>
      <w:r>
        <w:rPr>
          <w:rStyle w:val="C3"/>
          <w:rFonts w:ascii="Times New Roman" w:hAnsi="Times New Roman"/>
          <w:sz w:val="32"/>
        </w:rPr>
        <w:t>“</w:t>
      </w:r>
      <w:r>
        <w:rPr>
          <w:rStyle w:val="C3"/>
          <w:rFonts w:ascii="方正姚体" w:hAnsi="方正姚体"/>
          <w:sz w:val="32"/>
        </w:rPr>
        <w:t>世界传统医药日</w:t>
      </w:r>
      <w:r>
        <w:rPr>
          <w:rStyle w:val="C3"/>
          <w:rFonts w:ascii="Times New Roman" w:hAnsi="Times New Roman"/>
          <w:sz w:val="32"/>
        </w:rPr>
        <w:t>”</w:t>
      </w:r>
      <w:r>
        <w:rPr>
          <w:rStyle w:val="C3"/>
          <w:rFonts w:ascii="方正姚体" w:hAnsi="方正姚体"/>
          <w:sz w:val="32"/>
        </w:rPr>
        <w:t>为本市中医药文化宣传日。</w:t>
      </w:r>
    </w:p>
    <w:p>
      <w:pPr>
        <w:pStyle w:val="P1"/>
        <w:spacing w:lineRule="exact" w:line="594"/>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市、区县（自治县）人民政府对在中医药事业中做出突出贡献的组织和个人，按照国家和市级有关规定给予表彰、奖励。</w:t>
      </w:r>
    </w:p>
    <w:p>
      <w:pPr>
        <w:pStyle w:val="P1"/>
        <w:spacing w:lineRule="exact" w:line="594"/>
        <w:jc w:val="center"/>
        <w:rPr>
          <w:rStyle w:val="C3"/>
          <w:rFonts w:ascii="Times New Roman" w:hAnsi="Times New Roman"/>
          <w:sz w:val="32"/>
        </w:rPr>
      </w:pPr>
    </w:p>
    <w:p>
      <w:pPr>
        <w:pStyle w:val="P4"/>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中医药服务与规范</w:t>
      </w:r>
    </w:p>
    <w:p>
      <w:pPr>
        <w:pStyle w:val="P1"/>
        <w:spacing w:lineRule="exact" w:line="594"/>
        <w:ind w:firstLine="640"/>
        <w:rPr>
          <w:rStyle w:val="C3"/>
          <w:rFonts w:ascii="Times New Roman" w:hAnsi="Times New Roman"/>
          <w:sz w:val="32"/>
        </w:rPr>
      </w:pPr>
    </w:p>
    <w:p>
      <w:pPr>
        <w:pStyle w:val="P1"/>
        <w:spacing w:lineRule="exact" w:line="594"/>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市、区县（自治县）人民政府应当加强中医药服务体系建设，在医疗机构设置规划、土地开发利用、医疗设备配置中优化、完善中医医院布局，扶持有中医药特色和优势的医疗机构发展，为公民获得中医药服务提供保障。</w:t>
      </w:r>
    </w:p>
    <w:p>
      <w:pPr>
        <w:pStyle w:val="P1"/>
        <w:spacing w:lineRule="exact" w:line="594"/>
        <w:ind w:firstLine="640"/>
        <w:rPr>
          <w:rStyle w:val="C3"/>
          <w:rFonts w:ascii="Times New Roman" w:hAnsi="Times New Roman"/>
          <w:sz w:val="32"/>
        </w:rPr>
      </w:pPr>
      <w:r>
        <w:rPr>
          <w:rStyle w:val="C3"/>
          <w:rFonts w:ascii="方正姚体" w:hAnsi="方正姚体"/>
          <w:sz w:val="32"/>
        </w:rPr>
        <w:t>区县（自治县）人民政府举办的中医医疗机构不得擅自合并、撤销，或者改变其中医医疗性质。确需合并、撤销政府举办的中医医疗机构或者改变其中医医疗性质的，应当征求上一级中医药主管部门意见。</w:t>
      </w:r>
    </w:p>
    <w:p>
      <w:pPr>
        <w:pStyle w:val="P1"/>
        <w:shd w:val="clear" w:fill="FFFFFF"/>
        <w:spacing w:lineRule="exact" w:line="594"/>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市、区县（自治县）人民政府应当举办规模适宜的现代化综合性中医医院。县（自治县）人民政府举办的中医医院应当逐步达到二级甲等以上水平，市、区人民政府举办的中医医院应当逐步达到三级医院水平。</w:t>
      </w:r>
    </w:p>
    <w:p>
      <w:pPr>
        <w:pStyle w:val="P1"/>
        <w:spacing w:lineRule="exact" w:line="594"/>
        <w:ind w:firstLine="640"/>
        <w:rPr>
          <w:rStyle w:val="C3"/>
          <w:rFonts w:ascii="Times New Roman" w:hAnsi="Times New Roman"/>
          <w:sz w:val="32"/>
        </w:rPr>
      </w:pPr>
      <w:r>
        <w:rPr>
          <w:rStyle w:val="C3"/>
          <w:rFonts w:ascii="方正姚体" w:hAnsi="方正姚体"/>
          <w:sz w:val="32"/>
        </w:rPr>
        <w:t>政府举办的综合医院、妇幼保健机构和有条件的专科医院，应当健全中西医协同工作机制，设置中医药科室和一定比例的中医病床，配备中医医师、中药师。</w:t>
      </w:r>
    </w:p>
    <w:p>
      <w:pPr>
        <w:pStyle w:val="P1"/>
        <w:spacing w:lineRule="exact" w:line="594"/>
        <w:ind w:firstLine="640"/>
        <w:rPr>
          <w:rStyle w:val="C3"/>
          <w:rFonts w:ascii="Times New Roman" w:hAnsi="Times New Roman"/>
          <w:sz w:val="32"/>
        </w:rPr>
      </w:pPr>
      <w:r>
        <w:rPr>
          <w:rStyle w:val="C3"/>
          <w:rFonts w:ascii="方正姚体" w:hAnsi="方正姚体"/>
          <w:sz w:val="32"/>
        </w:rPr>
        <w:t>社区卫生服务中心、乡镇卫生院应当设置中医综合服务区，合理配备中医药专业技术人员。</w:t>
      </w:r>
    </w:p>
    <w:p>
      <w:pPr>
        <w:pStyle w:val="P1"/>
        <w:shd w:val="clear" w:fill="FFFFFF"/>
        <w:spacing w:lineRule="exact" w:line="594"/>
        <w:ind w:firstLine="640"/>
        <w:rPr>
          <w:rStyle w:val="C3"/>
          <w:rFonts w:ascii="Times New Roman" w:hAnsi="Times New Roman"/>
          <w:sz w:val="32"/>
        </w:rPr>
      </w:pPr>
      <w:r>
        <w:rPr>
          <w:rStyle w:val="C3"/>
          <w:rFonts w:ascii="方正姚体" w:hAnsi="方正姚体"/>
          <w:sz w:val="32"/>
        </w:rPr>
        <w:t>区县（自治县）人民政府应当加强社区卫生服务站、村卫生室中医药设备设施配置，对其从业人员定期开展技术培训，增强中医药服务能力。</w:t>
      </w:r>
    </w:p>
    <w:p>
      <w:pPr>
        <w:pStyle w:val="P1"/>
        <w:spacing w:lineRule="exact" w:line="594"/>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鼓励社会力量通过依法举办中医医疗机构或者捐赠、投资等方式参与中医药事业发展，满足人民群众多层次、多元化的医疗服务需求。</w:t>
      </w:r>
    </w:p>
    <w:p>
      <w:pPr>
        <w:pStyle w:val="P1"/>
        <w:spacing w:lineRule="exact" w:line="594"/>
        <w:ind w:firstLine="640"/>
        <w:rPr>
          <w:rStyle w:val="C3"/>
          <w:rFonts w:ascii="Times New Roman" w:hAnsi="Times New Roman"/>
          <w:sz w:val="32"/>
        </w:rPr>
      </w:pPr>
      <w:r>
        <w:rPr>
          <w:rStyle w:val="C3"/>
          <w:rFonts w:ascii="方正姚体" w:hAnsi="方正姚体"/>
          <w:sz w:val="32"/>
        </w:rPr>
        <w:t>社会力量举办的中医医疗机构在准入、执业、医疗保障定点、科研教学、医务人员职称评审等方面享有与政府举办的中医医疗机构同等待遇。</w:t>
      </w:r>
    </w:p>
    <w:p>
      <w:pPr>
        <w:pStyle w:val="P1"/>
        <w:spacing w:lineRule="exact" w:line="594"/>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市、区县（自治县）中医药主管部门应当整合中西医资源，推广应用中医药适宜技术，支持综合医院、专科医院、妇幼保健机构建立中西医联合会诊制度，促进中西医融合发展。</w:t>
      </w:r>
    </w:p>
    <w:p>
      <w:pPr>
        <w:pStyle w:val="P1"/>
        <w:spacing w:lineRule="exact" w:line="594"/>
        <w:ind w:firstLine="640"/>
        <w:rPr>
          <w:rStyle w:val="C3"/>
          <w:rFonts w:ascii="Times New Roman" w:hAnsi="Times New Roman"/>
          <w:sz w:val="32"/>
        </w:rPr>
      </w:pPr>
      <w:r>
        <w:rPr>
          <w:rStyle w:val="C3"/>
          <w:rFonts w:ascii="方正姚体" w:hAnsi="方正姚体"/>
          <w:sz w:val="32"/>
        </w:rPr>
        <w:t>中医医疗机构应当以中医药服务为主，充分利用中医药技术方法和现代科学技术，提高急危重症、疑难复杂疾病和中医优势病种的诊疗服务能力，与综合医院共同承担社会医疗、急诊急救、疾病预防、突发公共卫生事件应急处置等工作，为社会提供多元化服务。</w:t>
      </w:r>
    </w:p>
    <w:p>
      <w:pPr>
        <w:pStyle w:val="P1"/>
        <w:spacing w:lineRule="exact" w:line="594"/>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市、区县（自治县）人民政府应当支持中医医院牵头组建分区域、分层次的医疗联合体，推行分级诊疗制度。</w:t>
      </w:r>
    </w:p>
    <w:p>
      <w:pPr>
        <w:pStyle w:val="P1"/>
        <w:spacing w:lineRule="exact" w:line="594"/>
        <w:ind w:firstLine="640"/>
        <w:rPr>
          <w:rStyle w:val="C3"/>
          <w:rFonts w:ascii="Times New Roman" w:hAnsi="Times New Roman"/>
          <w:sz w:val="32"/>
        </w:rPr>
      </w:pPr>
      <w:r>
        <w:rPr>
          <w:rStyle w:val="C3"/>
          <w:rFonts w:ascii="方正姚体" w:hAnsi="方正姚体"/>
          <w:sz w:val="32"/>
        </w:rPr>
        <w:t>市、区县（自治县）人民政府举办的中医医院应当加强对本区域基层医疗机构中医药服务的指导，提升基层医疗机构综合医疗水平和中医药服务能力。</w:t>
      </w:r>
    </w:p>
    <w:p>
      <w:pPr>
        <w:pStyle w:val="P1"/>
        <w:spacing w:lineRule="exact" w:line="594"/>
        <w:ind w:firstLine="640"/>
        <w:rPr>
          <w:rStyle w:val="C3"/>
          <w:rFonts w:ascii="Times New Roman" w:hAnsi="Times New Roman"/>
          <w:sz w:val="32"/>
        </w:rPr>
      </w:pPr>
      <w:r>
        <w:rPr>
          <w:rStyle w:val="C3"/>
          <w:rFonts w:ascii="黑体" w:hAnsi="黑体"/>
          <w:sz w:val="32"/>
        </w:rPr>
        <w:t>第十四条</w:t>
      </w:r>
      <w:r>
        <w:rPr>
          <w:rStyle w:val="C3"/>
          <w:rFonts w:ascii="Times New Roman" w:hAnsi="Times New Roman"/>
          <w:sz w:val="32"/>
        </w:rPr>
        <w:t xml:space="preserve">  </w:t>
      </w:r>
      <w:r>
        <w:rPr>
          <w:rStyle w:val="C3"/>
          <w:rFonts w:ascii="方正姚体" w:hAnsi="方正姚体"/>
          <w:sz w:val="32"/>
        </w:rPr>
        <w:t>市、区县（自治县）人民政府应当发展中医治未病、中医特色康复和中医药健康养老服务。</w:t>
      </w:r>
    </w:p>
    <w:p>
      <w:pPr>
        <w:pStyle w:val="P1"/>
        <w:spacing w:lineRule="exact" w:line="594"/>
        <w:ind w:firstLine="640"/>
        <w:rPr>
          <w:rStyle w:val="C3"/>
          <w:rFonts w:ascii="Times New Roman" w:hAnsi="Times New Roman"/>
          <w:sz w:val="32"/>
        </w:rPr>
      </w:pPr>
      <w:r>
        <w:rPr>
          <w:rStyle w:val="C3"/>
          <w:rFonts w:ascii="方正姚体" w:hAnsi="方正姚体"/>
          <w:sz w:val="32"/>
        </w:rPr>
        <w:t>政府举办的二级以上中医医疗机构应当设置治未病科、老年病科、康复科，开展相应的中医药服务。</w:t>
      </w:r>
    </w:p>
    <w:p>
      <w:pPr>
        <w:pStyle w:val="P1"/>
        <w:spacing w:lineRule="exact" w:line="594"/>
        <w:ind w:firstLine="640"/>
        <w:rPr>
          <w:rStyle w:val="C3"/>
          <w:rFonts w:ascii="Times New Roman" w:hAnsi="Times New Roman"/>
          <w:sz w:val="32"/>
        </w:rPr>
      </w:pPr>
      <w:r>
        <w:rPr>
          <w:rStyle w:val="C3"/>
          <w:rFonts w:ascii="方正姚体" w:hAnsi="方正姚体"/>
          <w:sz w:val="32"/>
        </w:rPr>
        <w:t>政府举办的基层医疗卫生机构应当为居民提供中医健康监测、中医药咨询评估、中医养生调理、随访管理等治未病服务。</w:t>
      </w:r>
    </w:p>
    <w:p>
      <w:pPr>
        <w:pStyle w:val="P1"/>
        <w:spacing w:lineRule="exact" w:line="594"/>
        <w:ind w:firstLine="640"/>
        <w:rPr>
          <w:rStyle w:val="C3"/>
          <w:rFonts w:ascii="Times New Roman" w:hAnsi="Times New Roman"/>
          <w:sz w:val="32"/>
        </w:rPr>
      </w:pPr>
      <w:r>
        <w:rPr>
          <w:rStyle w:val="C3"/>
          <w:rFonts w:ascii="方正姚体" w:hAnsi="方正姚体"/>
          <w:sz w:val="32"/>
        </w:rPr>
        <w:t>支持中医医疗机构与养老机构合作开展中医药健康养老服务。</w:t>
      </w:r>
    </w:p>
    <w:p>
      <w:pPr>
        <w:pStyle w:val="P1"/>
        <w:spacing w:lineRule="exact" w:line="594"/>
        <w:ind w:firstLine="640"/>
        <w:rPr>
          <w:rStyle w:val="C3"/>
          <w:rFonts w:ascii="Times New Roman" w:hAnsi="Times New Roman"/>
          <w:sz w:val="32"/>
        </w:rPr>
      </w:pPr>
      <w:r>
        <w:rPr>
          <w:rStyle w:val="C3"/>
          <w:rFonts w:ascii="黑体" w:hAnsi="黑体"/>
          <w:sz w:val="32"/>
        </w:rPr>
        <w:t>第十五条</w:t>
      </w:r>
      <w:r>
        <w:rPr>
          <w:rStyle w:val="C3"/>
          <w:rFonts w:ascii="Times New Roman" w:hAnsi="Times New Roman"/>
          <w:sz w:val="32"/>
        </w:rPr>
        <w:t xml:space="preserve">  </w:t>
      </w:r>
      <w:r>
        <w:rPr>
          <w:rStyle w:val="C3"/>
          <w:rFonts w:ascii="方正姚体" w:hAnsi="方正姚体"/>
          <w:sz w:val="32"/>
        </w:rPr>
        <w:t>市、区县（自治县）人民政府应当将中医药服务纳入本市公共卫生服务体系，将适宜的中医药服务项目纳入基本公共卫生服务项目，鼓励家庭医生提供中医治未病签约服务。</w:t>
      </w:r>
    </w:p>
    <w:p>
      <w:pPr>
        <w:pStyle w:val="P1"/>
        <w:spacing w:lineRule="exact" w:line="594"/>
        <w:ind w:firstLine="640"/>
        <w:rPr>
          <w:rStyle w:val="C3"/>
          <w:rFonts w:ascii="Times New Roman" w:hAnsi="Times New Roman"/>
          <w:sz w:val="32"/>
        </w:rPr>
      </w:pPr>
      <w:r>
        <w:rPr>
          <w:rStyle w:val="C3"/>
          <w:rFonts w:ascii="方正姚体" w:hAnsi="方正姚体"/>
          <w:sz w:val="32"/>
        </w:rPr>
        <w:t>医疗机构提供疾病预防控制和健康教育、妇幼保健、精神卫生、院前急救等公共卫生服务，应当合理配置中医药专业技术人员，采用中医药理论和技术方法。</w:t>
      </w:r>
    </w:p>
    <w:p>
      <w:pPr>
        <w:pStyle w:val="P1"/>
        <w:spacing w:lineRule="exact" w:line="594"/>
        <w:ind w:firstLine="640"/>
        <w:rPr>
          <w:rStyle w:val="C3"/>
          <w:rFonts w:ascii="Times New Roman" w:hAnsi="Times New Roman"/>
          <w:sz w:val="32"/>
        </w:rPr>
      </w:pPr>
      <w:r>
        <w:rPr>
          <w:rStyle w:val="C3"/>
          <w:rFonts w:ascii="黑体" w:hAnsi="黑体"/>
          <w:sz w:val="32"/>
        </w:rPr>
        <w:t>第十六条</w:t>
      </w:r>
      <w:r>
        <w:rPr>
          <w:rStyle w:val="C3"/>
          <w:rFonts w:ascii="Times New Roman" w:hAnsi="Times New Roman"/>
          <w:sz w:val="32"/>
        </w:rPr>
        <w:t xml:space="preserve">  </w:t>
      </w:r>
      <w:r>
        <w:rPr>
          <w:rStyle w:val="C3"/>
          <w:rFonts w:ascii="方正姚体" w:hAnsi="方正姚体"/>
          <w:sz w:val="32"/>
        </w:rPr>
        <w:t>市、区县（自治县）人民政府应当发挥中医药在传染病防治和公共卫生事件应急处置中的作用，加强中医药应急物资、设施设备、技术和人才资源储备。</w:t>
      </w:r>
    </w:p>
    <w:p>
      <w:pPr>
        <w:pStyle w:val="P1"/>
        <w:spacing w:lineRule="exact" w:line="594"/>
        <w:ind w:firstLine="640"/>
        <w:rPr>
          <w:rStyle w:val="C3"/>
          <w:rFonts w:ascii="Times New Roman" w:hAnsi="Times New Roman"/>
          <w:sz w:val="32"/>
        </w:rPr>
      </w:pPr>
      <w:r>
        <w:rPr>
          <w:rStyle w:val="C3"/>
          <w:rFonts w:ascii="方正姚体" w:hAnsi="方正姚体"/>
          <w:sz w:val="32"/>
        </w:rPr>
        <w:t>发生突发公共卫生事件时，市中医药主管部门应当研究制定防治方案，选派中医药人员参与医学救援；政府举办的医疗机构按照市中医药主管部门发布的固定处方，可以预先调剂或者集中代煎预防性中药。</w:t>
      </w:r>
    </w:p>
    <w:p>
      <w:pPr>
        <w:pStyle w:val="P1"/>
        <w:spacing w:lineRule="exact" w:line="594"/>
        <w:ind w:firstLine="640"/>
        <w:rPr>
          <w:rStyle w:val="C3"/>
          <w:rFonts w:ascii="Times New Roman" w:hAnsi="Times New Roman"/>
          <w:sz w:val="32"/>
        </w:rPr>
      </w:pPr>
      <w:r>
        <w:rPr>
          <w:rStyle w:val="C3"/>
          <w:rFonts w:ascii="黑体" w:hAnsi="黑体"/>
          <w:sz w:val="32"/>
        </w:rPr>
        <w:t>第十七条</w:t>
      </w:r>
      <w:r>
        <w:rPr>
          <w:rStyle w:val="C3"/>
          <w:rFonts w:ascii="Times New Roman" w:hAnsi="Times New Roman"/>
          <w:sz w:val="32"/>
        </w:rPr>
        <w:t xml:space="preserve">  </w:t>
      </w:r>
      <w:r>
        <w:rPr>
          <w:rStyle w:val="C3"/>
          <w:rFonts w:ascii="方正姚体" w:hAnsi="方正姚体"/>
          <w:sz w:val="32"/>
        </w:rPr>
        <w:t>市中医药主管部门应当加快中医药数据体系建设，建立跨医疗机构中西医协作的数据共享交换机制。支持发展互联网中医医院。</w:t>
      </w:r>
    </w:p>
    <w:p>
      <w:pPr>
        <w:pStyle w:val="P1"/>
        <w:spacing w:lineRule="exact" w:line="594"/>
        <w:ind w:firstLine="640"/>
        <w:rPr>
          <w:rStyle w:val="C3"/>
          <w:rFonts w:ascii="Times New Roman" w:hAnsi="Times New Roman"/>
          <w:sz w:val="32"/>
        </w:rPr>
      </w:pPr>
      <w:r>
        <w:rPr>
          <w:rStyle w:val="C3"/>
          <w:rFonts w:ascii="方正姚体" w:hAnsi="方正姚体"/>
          <w:sz w:val="32"/>
        </w:rPr>
        <w:t>支持中医医疗机构运用现代信息技术形成中医智慧医疗服务网络，促进中医药优质资源普及和共享，提升中医医疗服务质量和效率。</w:t>
      </w:r>
    </w:p>
    <w:p>
      <w:pPr>
        <w:pStyle w:val="P1"/>
        <w:spacing w:lineRule="exact" w:line="594"/>
        <w:ind w:firstLine="640"/>
        <w:rPr>
          <w:rStyle w:val="C3"/>
          <w:rFonts w:ascii="Times New Roman" w:hAnsi="Times New Roman"/>
          <w:sz w:val="32"/>
        </w:rPr>
      </w:pPr>
      <w:r>
        <w:rPr>
          <w:rStyle w:val="C3"/>
          <w:rFonts w:ascii="方正姚体" w:hAnsi="方正姚体"/>
          <w:sz w:val="32"/>
        </w:rPr>
        <w:t>中医医院应当将中医药信息化建设列入医院建设规划，建立以电子病历、电子处方为核心的基础数据库，开展远程医疗、移动医疗、智慧医疗等线上线下一体化服务。</w:t>
      </w:r>
    </w:p>
    <w:p>
      <w:pPr>
        <w:pStyle w:val="P1"/>
        <w:spacing w:lineRule="exact" w:line="594"/>
        <w:ind w:firstLine="640"/>
        <w:rPr>
          <w:rStyle w:val="C3"/>
          <w:rFonts w:ascii="Times New Roman" w:hAnsi="Times New Roman"/>
          <w:sz w:val="32"/>
        </w:rPr>
      </w:pPr>
      <w:r>
        <w:rPr>
          <w:rStyle w:val="C3"/>
          <w:rFonts w:ascii="黑体" w:hAnsi="黑体"/>
          <w:sz w:val="32"/>
        </w:rPr>
        <w:t>第十八条</w:t>
      </w:r>
      <w:r>
        <w:rPr>
          <w:rStyle w:val="C3"/>
          <w:rFonts w:ascii="Times New Roman" w:hAnsi="Times New Roman"/>
          <w:sz w:val="32"/>
        </w:rPr>
        <w:t xml:space="preserve">  </w:t>
      </w:r>
      <w:r>
        <w:rPr>
          <w:rStyle w:val="C3"/>
          <w:rFonts w:ascii="方正姚体" w:hAnsi="方正姚体"/>
          <w:sz w:val="32"/>
        </w:rPr>
        <w:t>中医医疗机构应当按照国家和本市医疗机构管理有关规定分类办理审批或者备案手续，根据审批或者备案范围开展诊疗活动，加强对依法执业、医疗质量、医疗安全的管理。</w:t>
      </w:r>
    </w:p>
    <w:p>
      <w:pPr>
        <w:pStyle w:val="P1"/>
        <w:spacing w:lineRule="exact" w:line="594"/>
        <w:ind w:firstLine="640"/>
        <w:rPr>
          <w:rStyle w:val="C3"/>
          <w:rFonts w:ascii="Times New Roman" w:hAnsi="Times New Roman"/>
          <w:sz w:val="32"/>
        </w:rPr>
      </w:pPr>
      <w:r>
        <w:rPr>
          <w:rStyle w:val="C3"/>
          <w:rFonts w:ascii="黑体" w:hAnsi="黑体"/>
          <w:sz w:val="32"/>
        </w:rPr>
        <w:t>第十九条</w:t>
      </w:r>
      <w:r>
        <w:rPr>
          <w:rStyle w:val="C3"/>
          <w:rFonts w:ascii="Times New Roman" w:hAnsi="Times New Roman"/>
          <w:sz w:val="32"/>
        </w:rPr>
        <w:t xml:space="preserve">  </w:t>
      </w:r>
      <w:r>
        <w:rPr>
          <w:rStyle w:val="C3"/>
          <w:rFonts w:ascii="方正姚体" w:hAnsi="方正姚体"/>
          <w:sz w:val="32"/>
        </w:rPr>
        <w:t>中医诊所申请备案提交的材料应当真实有效，实际设置情况应当与《中医诊所备案证》记载事项相一致，其名称、地址、诊疗范围、人员配备情况等备案事项发生变化的，应当自发生变化之日起十个工作日内向原备案机关报送变化情况。</w:t>
      </w:r>
    </w:p>
    <w:p>
      <w:pPr>
        <w:pStyle w:val="P1"/>
        <w:spacing w:lineRule="exact" w:line="594"/>
        <w:ind w:firstLine="640"/>
        <w:rPr>
          <w:rStyle w:val="C3"/>
          <w:rFonts w:ascii="Times New Roman" w:hAnsi="Times New Roman"/>
          <w:sz w:val="32"/>
        </w:rPr>
      </w:pPr>
      <w:r>
        <w:rPr>
          <w:rStyle w:val="C3"/>
          <w:rFonts w:ascii="方正姚体" w:hAnsi="方正姚体"/>
          <w:sz w:val="32"/>
        </w:rPr>
        <w:t>区县（自治县）中医药主管部门应当自中医诊所备案之日起三十日内进行现场核查，核实其提交备案的情况与实际情况是否一致，并定期开展现场监督检查，建立不良执业行为记录制度，加强事中事后监管。</w:t>
      </w:r>
    </w:p>
    <w:p>
      <w:pPr>
        <w:pStyle w:val="P1"/>
        <w:spacing w:lineRule="exact" w:line="594"/>
        <w:ind w:firstLine="640"/>
        <w:rPr>
          <w:rStyle w:val="C3"/>
          <w:rFonts w:ascii="Times New Roman" w:hAnsi="Times New Roman"/>
          <w:sz w:val="32"/>
        </w:rPr>
      </w:pPr>
      <w:r>
        <w:rPr>
          <w:rStyle w:val="C3"/>
          <w:rFonts w:ascii="黑体" w:hAnsi="黑体"/>
          <w:sz w:val="32"/>
        </w:rPr>
        <w:t>第二十条</w:t>
      </w:r>
      <w:r>
        <w:rPr>
          <w:rStyle w:val="C3"/>
          <w:rFonts w:ascii="Times New Roman" w:hAnsi="Times New Roman"/>
          <w:sz w:val="32"/>
        </w:rPr>
        <w:t xml:space="preserve">  </w:t>
      </w:r>
      <w:r>
        <w:rPr>
          <w:rStyle w:val="C3"/>
          <w:rFonts w:ascii="方正姚体" w:hAnsi="方正姚体"/>
          <w:sz w:val="32"/>
        </w:rPr>
        <w:t>中医诊所应当遵守医疗机构管理相关法律法规和医疗技术规范，保障医疗安全。</w:t>
      </w:r>
    </w:p>
    <w:p>
      <w:pPr>
        <w:pStyle w:val="P1"/>
        <w:spacing w:lineRule="exact" w:line="594"/>
        <w:ind w:firstLine="640"/>
        <w:rPr>
          <w:rStyle w:val="C3"/>
          <w:rFonts w:ascii="Times New Roman" w:hAnsi="Times New Roman"/>
          <w:sz w:val="32"/>
        </w:rPr>
      </w:pPr>
      <w:r>
        <w:rPr>
          <w:rStyle w:val="C3"/>
          <w:rFonts w:ascii="方正姚体" w:hAnsi="方正姚体"/>
          <w:sz w:val="32"/>
        </w:rPr>
        <w:t>中医诊所应当将《中医诊所备案证》、诊疗范围、医疗卫生人员信息及其资质情况等公示于明显位置，并按照备案的名称悬挂牌匾、标识。</w:t>
      </w:r>
    </w:p>
    <w:p>
      <w:pPr>
        <w:pStyle w:val="P1"/>
        <w:spacing w:lineRule="exact" w:line="594"/>
        <w:ind w:firstLine="640"/>
        <w:rPr>
          <w:rStyle w:val="C3"/>
          <w:rFonts w:ascii="Times New Roman" w:hAnsi="Times New Roman"/>
          <w:sz w:val="32"/>
        </w:rPr>
      </w:pPr>
      <w:r>
        <w:rPr>
          <w:rStyle w:val="C3"/>
          <w:rFonts w:ascii="方正姚体" w:hAnsi="方正姚体"/>
          <w:sz w:val="32"/>
        </w:rPr>
        <w:t>中医诊所医务人员上岗工作时，应当佩带载有本诊所名称、本人姓名、职务、职称等真实执业信息的标牌。</w:t>
      </w:r>
    </w:p>
    <w:p>
      <w:pPr>
        <w:pStyle w:val="P1"/>
        <w:spacing w:lineRule="exact" w:line="594"/>
        <w:ind w:firstLine="640"/>
        <w:rPr>
          <w:rStyle w:val="C3"/>
          <w:rFonts w:ascii="Times New Roman" w:hAnsi="Times New Roman"/>
          <w:sz w:val="32"/>
        </w:rPr>
      </w:pPr>
      <w:r>
        <w:rPr>
          <w:rStyle w:val="C3"/>
          <w:rFonts w:ascii="黑体" w:hAnsi="黑体"/>
          <w:sz w:val="32"/>
        </w:rPr>
        <w:t>第二十一条</w:t>
      </w:r>
      <w:r>
        <w:rPr>
          <w:rStyle w:val="C3"/>
          <w:rFonts w:ascii="Times New Roman" w:hAnsi="Times New Roman"/>
          <w:sz w:val="32"/>
        </w:rPr>
        <w:t xml:space="preserve">  </w:t>
      </w:r>
      <w:r>
        <w:rPr>
          <w:rStyle w:val="C3"/>
          <w:rFonts w:ascii="方正姚体" w:hAnsi="方正姚体"/>
          <w:sz w:val="32"/>
        </w:rPr>
        <w:t>任何单位或者个人不得伪造、变造或者通过购买、租借等非法手段获取《中医诊所备案证》开展中医诊疗活动。</w:t>
      </w:r>
    </w:p>
    <w:p>
      <w:pPr>
        <w:pStyle w:val="P1"/>
        <w:spacing w:lineRule="exact" w:line="594"/>
        <w:ind w:firstLine="640"/>
        <w:rPr>
          <w:rStyle w:val="C3"/>
          <w:rFonts w:ascii="Times New Roman" w:hAnsi="Times New Roman"/>
          <w:sz w:val="32"/>
        </w:rPr>
      </w:pPr>
      <w:r>
        <w:rPr>
          <w:rStyle w:val="C3"/>
          <w:rFonts w:ascii="方正姚体" w:hAnsi="方正姚体"/>
          <w:sz w:val="32"/>
        </w:rPr>
        <w:t>中医诊所不得出卖、转让、出租、出借《中医诊所备案证》。</w:t>
      </w:r>
    </w:p>
    <w:p>
      <w:pPr>
        <w:pStyle w:val="P1"/>
        <w:spacing w:lineRule="exact" w:line="594"/>
        <w:ind w:firstLine="640"/>
        <w:rPr>
          <w:rStyle w:val="C3"/>
          <w:rFonts w:ascii="Times New Roman" w:hAnsi="Times New Roman"/>
          <w:sz w:val="32"/>
        </w:rPr>
      </w:pPr>
      <w:r>
        <w:rPr>
          <w:rStyle w:val="C3"/>
          <w:rFonts w:ascii="黑体" w:hAnsi="黑体"/>
          <w:sz w:val="32"/>
        </w:rPr>
        <w:t>第二十二条</w:t>
      </w:r>
      <w:r>
        <w:rPr>
          <w:rStyle w:val="C3"/>
          <w:rFonts w:ascii="Times New Roman" w:hAnsi="Times New Roman"/>
          <w:sz w:val="32"/>
        </w:rPr>
        <w:t xml:space="preserve">  </w:t>
      </w:r>
      <w:r>
        <w:rPr>
          <w:rStyle w:val="C3"/>
          <w:rFonts w:ascii="方正姚体" w:hAnsi="方正姚体"/>
          <w:sz w:val="32"/>
        </w:rPr>
        <w:t>具有规定学历，经认定或者考试取得执业资格的中医医师，可以在综合医院、专科医院、妇幼保健机构等医疗机构的中医科、中西医结合科或者其他临床科室按照注册的执业类别、执业范围执业和进修；经培训并考核合格后，在执业活动中可以采用与其专业相关的西医药技术方法开展诊疗活动，需要应用特殊准入的现代医学诊疗技术和方法的，应当符合医疗技术管理规范的资质要求。</w:t>
      </w:r>
    </w:p>
    <w:p>
      <w:pPr>
        <w:pStyle w:val="P1"/>
        <w:spacing w:lineRule="exact" w:line="594"/>
        <w:ind w:firstLine="640"/>
        <w:rPr>
          <w:rStyle w:val="C3"/>
          <w:rFonts w:ascii="Times New Roman" w:hAnsi="Times New Roman"/>
          <w:sz w:val="32"/>
        </w:rPr>
      </w:pPr>
      <w:r>
        <w:rPr>
          <w:rStyle w:val="C3"/>
          <w:rFonts w:ascii="方正姚体" w:hAnsi="方正姚体"/>
          <w:sz w:val="32"/>
        </w:rPr>
        <w:t>鼓励政府举办的综合医院、专科医院和妇幼保健机构在非中医类别临床科室配备中医医师。</w:t>
      </w:r>
    </w:p>
    <w:p>
      <w:pPr>
        <w:pStyle w:val="P1"/>
        <w:spacing w:lineRule="exact" w:line="594"/>
        <w:ind w:firstLine="640"/>
        <w:rPr>
          <w:rStyle w:val="C3"/>
          <w:rFonts w:ascii="Times New Roman" w:hAnsi="Times New Roman"/>
          <w:sz w:val="32"/>
        </w:rPr>
      </w:pPr>
      <w:r>
        <w:rPr>
          <w:rStyle w:val="C3"/>
          <w:rFonts w:ascii="黑体" w:hAnsi="黑体"/>
          <w:sz w:val="32"/>
        </w:rPr>
        <w:t>第二十三条</w:t>
      </w:r>
      <w:r>
        <w:rPr>
          <w:rStyle w:val="C3"/>
          <w:rFonts w:ascii="Times New Roman" w:hAnsi="Times New Roman"/>
          <w:sz w:val="32"/>
        </w:rPr>
        <w:t xml:space="preserve">  </w:t>
      </w:r>
      <w:r>
        <w:rPr>
          <w:rStyle w:val="C3"/>
          <w:rFonts w:ascii="方正姚体" w:hAnsi="方正姚体"/>
          <w:sz w:val="32"/>
        </w:rPr>
        <w:t>以师承方式学习中医或者经多年实践医术确有专长的人员，由至少两名中医医师推荐，经市中医药主管部门组织实践技能和效果考核合格后，可以取得中医（专长）医师资格。</w:t>
      </w:r>
    </w:p>
    <w:p>
      <w:pPr>
        <w:pStyle w:val="P1"/>
        <w:spacing w:lineRule="exact" w:line="594"/>
        <w:ind w:firstLine="640"/>
        <w:rPr>
          <w:rStyle w:val="C3"/>
          <w:rFonts w:ascii="Times New Roman" w:hAnsi="Times New Roman"/>
          <w:sz w:val="32"/>
        </w:rPr>
      </w:pPr>
      <w:r>
        <w:rPr>
          <w:rStyle w:val="C3"/>
          <w:rFonts w:ascii="方正姚体" w:hAnsi="方正姚体"/>
          <w:sz w:val="32"/>
        </w:rPr>
        <w:t>市、区县（自治县）中医药主管部门应当对中医（专长）医师资格考核报名资料真实性、医学渊源、中医药技术方法独特性、安全性和医学伦理等进行审核。</w:t>
      </w:r>
    </w:p>
    <w:p>
      <w:pPr>
        <w:pStyle w:val="P1"/>
        <w:spacing w:lineRule="exact" w:line="594"/>
        <w:ind w:firstLine="640"/>
        <w:rPr>
          <w:rStyle w:val="C3"/>
          <w:rFonts w:ascii="Times New Roman" w:hAnsi="Times New Roman"/>
          <w:sz w:val="32"/>
        </w:rPr>
      </w:pPr>
      <w:r>
        <w:rPr>
          <w:rStyle w:val="C3"/>
          <w:rFonts w:ascii="黑体" w:hAnsi="黑体"/>
          <w:sz w:val="32"/>
        </w:rPr>
        <w:t>第二十四条</w:t>
      </w:r>
      <w:r>
        <w:rPr>
          <w:rStyle w:val="C3"/>
          <w:rFonts w:ascii="Times New Roman" w:hAnsi="Times New Roman"/>
          <w:sz w:val="32"/>
        </w:rPr>
        <w:t xml:space="preserve">  </w:t>
      </w:r>
      <w:r>
        <w:rPr>
          <w:rStyle w:val="C3"/>
          <w:rFonts w:ascii="方正姚体" w:hAnsi="方正姚体"/>
          <w:sz w:val="32"/>
        </w:rPr>
        <w:t>市中医药主管部门应当建立西医医师中医药知识培训考核制度，西医医师按照国家有关规定，经过培训并考核合格后，在执业活动中可以采用与其专业相关的中医药技术方法开展诊疗活动。</w:t>
      </w:r>
    </w:p>
    <w:p>
      <w:pPr>
        <w:pStyle w:val="P1"/>
        <w:spacing w:lineRule="exact" w:line="594"/>
        <w:ind w:firstLine="640"/>
        <w:rPr>
          <w:rStyle w:val="C3"/>
          <w:rFonts w:ascii="Times New Roman" w:hAnsi="Times New Roman"/>
          <w:sz w:val="32"/>
        </w:rPr>
      </w:pPr>
      <w:r>
        <w:rPr>
          <w:rStyle w:val="C3"/>
          <w:rFonts w:ascii="黑体" w:hAnsi="黑体"/>
          <w:sz w:val="32"/>
        </w:rPr>
        <w:t>第二十五条</w:t>
      </w:r>
      <w:r>
        <w:rPr>
          <w:rStyle w:val="C3"/>
          <w:rFonts w:ascii="Times New Roman" w:hAnsi="Times New Roman"/>
          <w:sz w:val="32"/>
        </w:rPr>
        <w:t xml:space="preserve">  </w:t>
      </w:r>
      <w:r>
        <w:rPr>
          <w:rStyle w:val="C3"/>
          <w:rFonts w:ascii="方正姚体" w:hAnsi="方正姚体"/>
          <w:sz w:val="32"/>
        </w:rPr>
        <w:t>任何单位或者个人提供中医养生保健服务，应当依法向市场监督管理或者民政部门申请登记。</w:t>
      </w:r>
    </w:p>
    <w:p>
      <w:pPr>
        <w:pStyle w:val="P1"/>
        <w:spacing w:lineRule="exact" w:line="594"/>
        <w:ind w:firstLine="640"/>
        <w:rPr>
          <w:rStyle w:val="C3"/>
          <w:rFonts w:ascii="Times New Roman" w:hAnsi="Times New Roman"/>
          <w:sz w:val="32"/>
        </w:rPr>
      </w:pPr>
      <w:r>
        <w:rPr>
          <w:rStyle w:val="C3"/>
          <w:rFonts w:ascii="方正姚体" w:hAnsi="方正姚体"/>
          <w:sz w:val="32"/>
        </w:rPr>
        <w:t>中医养生保健机构不得使用</w:t>
      </w:r>
      <w:r>
        <w:rPr>
          <w:rStyle w:val="C3"/>
          <w:rFonts w:ascii="Times New Roman" w:hAnsi="Times New Roman"/>
          <w:sz w:val="32"/>
        </w:rPr>
        <w:t>“</w:t>
      </w:r>
      <w:r>
        <w:rPr>
          <w:rStyle w:val="C3"/>
          <w:rFonts w:ascii="方正姚体" w:hAnsi="方正姚体"/>
          <w:sz w:val="32"/>
        </w:rPr>
        <w:t>中医医疗</w:t>
      </w:r>
      <w:r>
        <w:rPr>
          <w:rStyle w:val="C3"/>
          <w:rFonts w:ascii="Times New Roman" w:hAnsi="Times New Roman"/>
          <w:sz w:val="32"/>
        </w:rPr>
        <w:t>”“</w:t>
      </w:r>
      <w:r>
        <w:rPr>
          <w:rStyle w:val="C3"/>
          <w:rFonts w:ascii="方正姚体" w:hAnsi="方正姚体"/>
          <w:sz w:val="32"/>
        </w:rPr>
        <w:t>中医治疗</w:t>
      </w:r>
      <w:r>
        <w:rPr>
          <w:rStyle w:val="C3"/>
          <w:rFonts w:ascii="Times New Roman" w:hAnsi="Times New Roman"/>
          <w:sz w:val="32"/>
        </w:rPr>
        <w:t>”</w:t>
      </w:r>
      <w:r>
        <w:rPr>
          <w:rStyle w:val="C3"/>
          <w:rFonts w:ascii="方正姚体" w:hAnsi="方正姚体"/>
          <w:sz w:val="32"/>
        </w:rPr>
        <w:t>等含有医疗性质可能误导消费者的名称；登记部门核定服务范围时应当登记为</w:t>
      </w:r>
      <w:r>
        <w:rPr>
          <w:rStyle w:val="C3"/>
          <w:rFonts w:ascii="Times New Roman" w:hAnsi="Times New Roman"/>
          <w:sz w:val="32"/>
        </w:rPr>
        <w:t>“</w:t>
      </w:r>
      <w:r>
        <w:rPr>
          <w:rStyle w:val="C3"/>
          <w:rFonts w:ascii="方正姚体" w:hAnsi="方正姚体"/>
          <w:sz w:val="32"/>
        </w:rPr>
        <w:t>中医养生保健服务（非医疗）</w:t>
      </w:r>
      <w:r>
        <w:rPr>
          <w:rStyle w:val="C3"/>
          <w:rFonts w:ascii="Times New Roman" w:hAnsi="Times New Roman"/>
          <w:sz w:val="32"/>
        </w:rPr>
        <w:t>”</w:t>
      </w:r>
      <w:r>
        <w:rPr>
          <w:rStyle w:val="C3"/>
          <w:rFonts w:ascii="方正姚体" w:hAnsi="方正姚体"/>
          <w:sz w:val="32"/>
        </w:rPr>
        <w:t>。</w:t>
      </w:r>
    </w:p>
    <w:p>
      <w:pPr>
        <w:pStyle w:val="P1"/>
        <w:spacing w:lineRule="exact" w:line="594"/>
        <w:ind w:firstLine="640"/>
        <w:rPr>
          <w:rStyle w:val="C3"/>
          <w:rFonts w:ascii="Times New Roman" w:hAnsi="Times New Roman"/>
          <w:sz w:val="32"/>
        </w:rPr>
      </w:pPr>
      <w:r>
        <w:rPr>
          <w:rStyle w:val="C3"/>
          <w:rFonts w:ascii="方正姚体" w:hAnsi="方正姚体"/>
          <w:sz w:val="32"/>
        </w:rPr>
        <w:t>前款所述经注册登记的单位和个人从事中医养生保健服务时，不得开展诊疗活动，不得在广告中涉及疾病治疗功能，并不得使用医疗用语。</w:t>
      </w:r>
    </w:p>
    <w:p>
      <w:pPr>
        <w:pStyle w:val="P1"/>
        <w:spacing w:lineRule="exact" w:line="594"/>
        <w:ind w:firstLine="640"/>
        <w:rPr>
          <w:rStyle w:val="C3"/>
          <w:rFonts w:ascii="Times New Roman" w:hAnsi="Times New Roman"/>
          <w:sz w:val="32"/>
        </w:rPr>
      </w:pPr>
    </w:p>
    <w:p>
      <w:pPr>
        <w:pStyle w:val="P1"/>
        <w:spacing w:lineRule="exact" w:line="594"/>
        <w:ind w:firstLine="640"/>
        <w:jc w:val="center"/>
        <w:rPr>
          <w:rStyle w:val="C3"/>
          <w:rFonts w:ascii="黑体" w:hAnsi="黑体"/>
          <w:sz w:val="32"/>
        </w:rPr>
      </w:pPr>
      <w:r>
        <w:rPr>
          <w:rStyle w:val="C3"/>
          <w:rFonts w:ascii="黑体" w:hAnsi="黑体"/>
          <w:sz w:val="32"/>
        </w:rPr>
        <w:t xml:space="preserve">第三章  中药保护与发展</w:t>
      </w:r>
    </w:p>
    <w:p>
      <w:pPr>
        <w:pStyle w:val="P1"/>
        <w:spacing w:lineRule="exact" w:line="594"/>
        <w:ind w:firstLine="659"/>
        <w:rPr>
          <w:rStyle w:val="C3"/>
          <w:rFonts w:ascii="Times New Roman" w:hAnsi="Times New Roman"/>
          <w:sz w:val="32"/>
        </w:rPr>
      </w:pPr>
    </w:p>
    <w:p>
      <w:pPr>
        <w:pStyle w:val="P1"/>
        <w:spacing w:lineRule="exact" w:line="594"/>
        <w:ind w:firstLine="659"/>
        <w:rPr>
          <w:rStyle w:val="C3"/>
          <w:rFonts w:ascii="Times New Roman" w:hAnsi="Times New Roman"/>
          <w:sz w:val="32"/>
        </w:rPr>
      </w:pPr>
      <w:r>
        <w:rPr>
          <w:rStyle w:val="C3"/>
          <w:rFonts w:ascii="黑体" w:hAnsi="黑体"/>
          <w:sz w:val="32"/>
        </w:rPr>
        <w:t>第二十六条</w:t>
      </w:r>
      <w:r>
        <w:rPr>
          <w:rStyle w:val="C3"/>
          <w:rFonts w:ascii="Times New Roman" w:hAnsi="Times New Roman"/>
          <w:sz w:val="32"/>
        </w:rPr>
        <w:t xml:space="preserve">  </w:t>
      </w:r>
      <w:r>
        <w:rPr>
          <w:rStyle w:val="C3"/>
          <w:rFonts w:ascii="方正姚体" w:hAnsi="方正姚体"/>
          <w:sz w:val="32"/>
        </w:rPr>
        <w:t>市人民政府应当加强本市中药材资源保护利用，组织有关部门对本市中药材资源进行定期普查和动态监测，发展现代中药流通体系，促进中药产业转型升级。</w:t>
      </w:r>
    </w:p>
    <w:p>
      <w:pPr>
        <w:pStyle w:val="P1"/>
        <w:spacing w:lineRule="exact" w:line="594"/>
        <w:ind w:firstLine="640"/>
        <w:rPr>
          <w:rStyle w:val="C3"/>
          <w:rFonts w:ascii="Times New Roman" w:hAnsi="Times New Roman"/>
          <w:sz w:val="32"/>
        </w:rPr>
      </w:pPr>
      <w:r>
        <w:rPr>
          <w:rStyle w:val="C3"/>
          <w:rFonts w:ascii="黑体" w:hAnsi="黑体"/>
          <w:sz w:val="32"/>
        </w:rPr>
        <w:t>第二十七条</w:t>
      </w:r>
      <w:r>
        <w:rPr>
          <w:rStyle w:val="C3"/>
          <w:rFonts w:ascii="Times New Roman" w:hAnsi="Times New Roman"/>
          <w:sz w:val="32"/>
        </w:rPr>
        <w:t xml:space="preserve">  </w:t>
      </w:r>
      <w:r>
        <w:rPr>
          <w:rStyle w:val="C3"/>
          <w:rFonts w:ascii="方正姚体" w:hAnsi="方正姚体"/>
          <w:sz w:val="32"/>
        </w:rPr>
        <w:t>鼓励发展中药材规范化、生态化种植养殖。中药材种植养殖过程中，严格农药、肥料、植物生长调节剂等农业投入品的使用管理，禁止使用剧毒、高毒农药，支持中药材良种繁育，提升中药材质量。</w:t>
      </w:r>
    </w:p>
    <w:p>
      <w:pPr>
        <w:pStyle w:val="P1"/>
        <w:spacing w:lineRule="exact" w:line="594"/>
        <w:ind w:firstLine="640"/>
        <w:rPr>
          <w:rStyle w:val="C3"/>
          <w:rFonts w:ascii="Times New Roman" w:hAnsi="Times New Roman"/>
          <w:sz w:val="32"/>
        </w:rPr>
      </w:pPr>
      <w:r>
        <w:rPr>
          <w:rStyle w:val="C3"/>
          <w:rFonts w:ascii="方正姚体" w:hAnsi="方正姚体"/>
          <w:sz w:val="32"/>
        </w:rPr>
        <w:t>农业农村、林业等部门应当支持本行政区域道地中药材品种选育和生产，推进渝产中药材规范化种植养殖，支持中药材生产基地建设，培育和保护渝产中药材知名品牌，推动渝产中药材品种申报国家地理标志。</w:t>
      </w:r>
    </w:p>
    <w:p>
      <w:pPr>
        <w:pStyle w:val="P1"/>
        <w:spacing w:lineRule="exact" w:line="594"/>
        <w:ind w:firstLine="640"/>
        <w:rPr>
          <w:rStyle w:val="C3"/>
          <w:rFonts w:ascii="Times New Roman" w:hAnsi="Times New Roman"/>
          <w:sz w:val="32"/>
        </w:rPr>
      </w:pPr>
      <w:r>
        <w:rPr>
          <w:rStyle w:val="C3"/>
          <w:rFonts w:ascii="黑体" w:hAnsi="黑体"/>
          <w:sz w:val="32"/>
        </w:rPr>
        <w:t>第二十八条</w:t>
      </w:r>
      <w:r>
        <w:rPr>
          <w:rStyle w:val="C3"/>
          <w:rFonts w:ascii="Times New Roman" w:hAnsi="Times New Roman"/>
          <w:sz w:val="32"/>
        </w:rPr>
        <w:t xml:space="preserve">  </w:t>
      </w:r>
      <w:r>
        <w:rPr>
          <w:rStyle w:val="C3"/>
          <w:rFonts w:ascii="方正姚体" w:hAnsi="方正姚体"/>
          <w:sz w:val="32"/>
        </w:rPr>
        <w:t>林业、农业农村等部门应当加强药用野生动植物资源保护，支持依法开展珍贵、濒危药用野生动植物的保护、繁育及其相关研究，发展药用野生动植物人工种植养殖。</w:t>
      </w:r>
    </w:p>
    <w:p>
      <w:pPr>
        <w:pStyle w:val="P1"/>
        <w:spacing w:lineRule="exact" w:line="594"/>
        <w:ind w:firstLine="640"/>
        <w:rPr>
          <w:rStyle w:val="C3"/>
          <w:rFonts w:ascii="Times New Roman" w:hAnsi="Times New Roman"/>
          <w:sz w:val="32"/>
        </w:rPr>
      </w:pPr>
      <w:r>
        <w:rPr>
          <w:rStyle w:val="C3"/>
          <w:rFonts w:ascii="方正姚体" w:hAnsi="方正姚体"/>
          <w:sz w:val="32"/>
        </w:rPr>
        <w:t>将野生动物及其制品作为药品经营和利用的，应当遵守有关药品管理的法律法规。</w:t>
      </w:r>
    </w:p>
    <w:p>
      <w:pPr>
        <w:pStyle w:val="P1"/>
        <w:spacing w:lineRule="exact" w:line="594"/>
        <w:ind w:firstLine="640"/>
        <w:rPr>
          <w:rStyle w:val="C3"/>
          <w:rFonts w:ascii="Times New Roman" w:hAnsi="Times New Roman"/>
          <w:sz w:val="32"/>
        </w:rPr>
      </w:pPr>
      <w:r>
        <w:rPr>
          <w:rStyle w:val="C3"/>
          <w:rFonts w:ascii="黑体" w:hAnsi="黑体"/>
          <w:sz w:val="32"/>
        </w:rPr>
        <w:t>第二十九条</w:t>
      </w:r>
      <w:r>
        <w:rPr>
          <w:rStyle w:val="C3"/>
          <w:rFonts w:ascii="Times New Roman" w:hAnsi="Times New Roman"/>
          <w:sz w:val="32"/>
        </w:rPr>
        <w:t xml:space="preserve">  </w:t>
      </w:r>
      <w:r>
        <w:rPr>
          <w:rStyle w:val="C3"/>
          <w:rFonts w:ascii="方正姚体" w:hAnsi="方正姚体"/>
          <w:sz w:val="32"/>
        </w:rPr>
        <w:t>经济信息、农业农村、商务、药品监督管理、中医药等主管部门应当根据职责加强中药质量监管，健全种植养殖、生产、流通、使用全流程可追溯监管体系，保障质量安全。</w:t>
      </w:r>
    </w:p>
    <w:p>
      <w:pPr>
        <w:pStyle w:val="P1"/>
        <w:spacing w:lineRule="exact" w:line="594"/>
        <w:ind w:firstLine="640"/>
        <w:rPr>
          <w:rStyle w:val="C3"/>
          <w:rFonts w:ascii="Times New Roman" w:hAnsi="Times New Roman"/>
          <w:sz w:val="32"/>
        </w:rPr>
      </w:pPr>
      <w:r>
        <w:rPr>
          <w:rStyle w:val="C3"/>
          <w:rFonts w:ascii="黑体" w:hAnsi="黑体"/>
          <w:sz w:val="32"/>
        </w:rPr>
        <w:t>第三十条</w:t>
      </w:r>
      <w:r>
        <w:rPr>
          <w:rStyle w:val="C3"/>
          <w:rFonts w:ascii="Times New Roman" w:hAnsi="Times New Roman"/>
          <w:sz w:val="32"/>
        </w:rPr>
        <w:t xml:space="preserve">  </w:t>
      </w:r>
      <w:r>
        <w:rPr>
          <w:rStyle w:val="C3"/>
          <w:rFonts w:ascii="方正姚体" w:hAnsi="方正姚体"/>
          <w:sz w:val="32"/>
        </w:rPr>
        <w:t>药品生产企业、经营企业、医疗机构应当按照药品管理的相关法律规定，建立并落实进货查验、购销、仓储、保管等相关制度，确保中药产品全程可追溯。</w:t>
      </w:r>
    </w:p>
    <w:p>
      <w:pPr>
        <w:pStyle w:val="P1"/>
        <w:spacing w:lineRule="exact" w:line="594"/>
        <w:ind w:firstLine="640"/>
        <w:rPr>
          <w:rStyle w:val="C3"/>
          <w:rFonts w:ascii="Times New Roman" w:hAnsi="Times New Roman"/>
          <w:sz w:val="32"/>
        </w:rPr>
      </w:pPr>
      <w:r>
        <w:rPr>
          <w:rStyle w:val="C3"/>
          <w:rFonts w:ascii="方正姚体" w:hAnsi="方正姚体"/>
          <w:sz w:val="32"/>
        </w:rPr>
        <w:t>医疗机构应当建立健全中药药事管理制度，加强对中药饮片、医疗机构中药制剂质量管理，建立中药饮片处方专项点评制度，保障安全、合理用药。</w:t>
      </w:r>
    </w:p>
    <w:p>
      <w:pPr>
        <w:pStyle w:val="P1"/>
        <w:spacing w:lineRule="exact" w:line="594"/>
        <w:ind w:firstLine="640"/>
        <w:rPr>
          <w:rStyle w:val="C3"/>
          <w:rFonts w:ascii="Times New Roman" w:hAnsi="Times New Roman"/>
          <w:sz w:val="32"/>
        </w:rPr>
      </w:pPr>
      <w:r>
        <w:rPr>
          <w:rStyle w:val="C3"/>
          <w:rFonts w:ascii="方正姚体" w:hAnsi="方正姚体"/>
          <w:sz w:val="32"/>
        </w:rPr>
        <w:t>鼓励药品生产企业、药品经营企业、医疗机构、行业协会建立中药信息化追溯体系。</w:t>
      </w:r>
    </w:p>
    <w:p>
      <w:pPr>
        <w:pStyle w:val="P1"/>
        <w:spacing w:lineRule="exact" w:line="594"/>
        <w:ind w:firstLine="640"/>
        <w:rPr>
          <w:rStyle w:val="C3"/>
          <w:rFonts w:ascii="Times New Roman" w:hAnsi="Times New Roman"/>
          <w:sz w:val="32"/>
        </w:rPr>
      </w:pPr>
      <w:r>
        <w:rPr>
          <w:rStyle w:val="C3"/>
          <w:rFonts w:ascii="黑体" w:hAnsi="黑体"/>
          <w:sz w:val="32"/>
        </w:rPr>
        <w:t>第三十一条</w:t>
      </w:r>
      <w:r>
        <w:rPr>
          <w:rStyle w:val="C3"/>
          <w:rFonts w:ascii="Times New Roman" w:hAnsi="Times New Roman"/>
          <w:sz w:val="32"/>
        </w:rPr>
        <w:t xml:space="preserve">  </w:t>
      </w:r>
      <w:r>
        <w:rPr>
          <w:rStyle w:val="C3"/>
          <w:rFonts w:ascii="方正姚体" w:hAnsi="方正姚体"/>
          <w:sz w:val="32"/>
        </w:rPr>
        <w:t>市药品监督管理部门应当定期对地方中药饮片炮制规范的实施情况进行评估，并根据评估情况及时修改完善，进一步提高中药饮片质量管理水平。制定或者修改地方中药饮片炮制规范应当征求市中医药主管部门意见。</w:t>
      </w:r>
    </w:p>
    <w:p>
      <w:pPr>
        <w:pStyle w:val="P1"/>
        <w:spacing w:lineRule="exact" w:line="594"/>
        <w:ind w:firstLine="640"/>
        <w:rPr>
          <w:rStyle w:val="C3"/>
          <w:rFonts w:ascii="Times New Roman" w:hAnsi="Times New Roman"/>
          <w:sz w:val="32"/>
        </w:rPr>
      </w:pPr>
      <w:r>
        <w:rPr>
          <w:rStyle w:val="C3"/>
          <w:rFonts w:ascii="方正姚体" w:hAnsi="方正姚体"/>
          <w:sz w:val="32"/>
        </w:rPr>
        <w:t>市中医药主管部门应当会同市药品监督管理部门支持抢救、挖掘、整理老药工和名老中药专家的传统中药炮制技术。</w:t>
      </w:r>
    </w:p>
    <w:p>
      <w:pPr>
        <w:pStyle w:val="P1"/>
        <w:spacing w:lineRule="exact" w:line="594"/>
        <w:ind w:firstLine="640"/>
        <w:rPr>
          <w:rStyle w:val="C3"/>
          <w:rFonts w:ascii="Times New Roman" w:hAnsi="Times New Roman"/>
          <w:sz w:val="32"/>
        </w:rPr>
      </w:pPr>
      <w:r>
        <w:rPr>
          <w:rStyle w:val="C3"/>
          <w:rFonts w:ascii="方正姚体" w:hAnsi="方正姚体"/>
          <w:sz w:val="32"/>
        </w:rPr>
        <w:t>支持应用传统工艺炮制中药饮片，鼓励运用现代科学技术对中药饮片炮制技术及炮制品质量评价开展研究。</w:t>
      </w:r>
    </w:p>
    <w:p>
      <w:pPr>
        <w:pStyle w:val="P1"/>
        <w:spacing w:lineRule="exact" w:line="594"/>
        <w:ind w:firstLine="640"/>
        <w:rPr>
          <w:rStyle w:val="C3"/>
          <w:rFonts w:ascii="Times New Roman" w:hAnsi="Times New Roman"/>
          <w:sz w:val="32"/>
        </w:rPr>
      </w:pPr>
      <w:r>
        <w:rPr>
          <w:rStyle w:val="C3"/>
          <w:rFonts w:ascii="黑体" w:hAnsi="黑体"/>
          <w:sz w:val="32"/>
        </w:rPr>
        <w:t>第三十二条</w:t>
      </w:r>
      <w:r>
        <w:rPr>
          <w:rStyle w:val="C3"/>
          <w:rFonts w:ascii="Times New Roman" w:hAnsi="Times New Roman"/>
          <w:sz w:val="32"/>
        </w:rPr>
        <w:t xml:space="preserve">  </w:t>
      </w:r>
      <w:r>
        <w:rPr>
          <w:rStyle w:val="C3"/>
          <w:rFonts w:ascii="方正姚体" w:hAnsi="方正姚体"/>
          <w:sz w:val="32"/>
        </w:rPr>
        <w:t>医疗机构根据本机构医师处方的需要，在本机构内炮制、使用市场上没有供应的中药饮片，应当具备与之相适应的条件、设施、人员和质检制度，并向市药品监督管理部门备案，或者通过区县（自治县）市场监督管理部门向市药品监督管理部门备案。医疗机构应当遵守中药饮片炮制的有关规定，对其炮制的中药饮片的质量负责，保证药品安全。</w:t>
      </w:r>
    </w:p>
    <w:p>
      <w:pPr>
        <w:pStyle w:val="P1"/>
        <w:spacing w:lineRule="exact" w:line="594"/>
        <w:ind w:firstLine="640"/>
        <w:rPr>
          <w:rStyle w:val="C3"/>
          <w:rFonts w:ascii="Times New Roman" w:hAnsi="Times New Roman"/>
          <w:sz w:val="32"/>
        </w:rPr>
      </w:pPr>
      <w:r>
        <w:rPr>
          <w:rStyle w:val="C3"/>
          <w:rFonts w:ascii="方正姚体" w:hAnsi="方正姚体"/>
          <w:sz w:val="32"/>
        </w:rPr>
        <w:t>中药饮片应当按照国家药品标准炮制；国家药品标准没有规定的，应当符合地方中药饮片炮制规范。</w:t>
      </w:r>
    </w:p>
    <w:p>
      <w:pPr>
        <w:pStyle w:val="P1"/>
        <w:spacing w:lineRule="exact" w:line="594"/>
        <w:ind w:firstLine="640"/>
        <w:rPr>
          <w:rStyle w:val="C3"/>
          <w:rFonts w:ascii="Times New Roman" w:hAnsi="Times New Roman"/>
          <w:sz w:val="32"/>
        </w:rPr>
      </w:pPr>
      <w:r>
        <w:rPr>
          <w:rStyle w:val="C3"/>
          <w:rFonts w:ascii="黑体" w:hAnsi="黑体"/>
          <w:sz w:val="32"/>
        </w:rPr>
        <w:t>第三十三条</w:t>
      </w:r>
      <w:r>
        <w:rPr>
          <w:rStyle w:val="C3"/>
          <w:rFonts w:ascii="Times New Roman" w:hAnsi="Times New Roman"/>
          <w:sz w:val="32"/>
        </w:rPr>
        <w:t xml:space="preserve">  </w:t>
      </w:r>
      <w:r>
        <w:rPr>
          <w:rStyle w:val="C3"/>
          <w:rFonts w:ascii="方正姚体" w:hAnsi="方正姚体"/>
          <w:sz w:val="32"/>
        </w:rPr>
        <w:t>鼓励医疗机构依据本医疗机构名中医经验方，结合临床用药需要，配制和使用中药制剂。医疗机构应当加强对配制中药制剂安全性、有效性的再评价以及监督管理，对配制中药制剂的质量和临床使用负责。</w:t>
      </w:r>
    </w:p>
    <w:p>
      <w:pPr>
        <w:pStyle w:val="P1"/>
        <w:spacing w:lineRule="exact" w:line="594"/>
        <w:ind w:firstLine="640"/>
        <w:rPr>
          <w:rStyle w:val="C3"/>
          <w:rFonts w:ascii="Times New Roman" w:hAnsi="Times New Roman"/>
          <w:sz w:val="32"/>
        </w:rPr>
      </w:pPr>
      <w:r>
        <w:rPr>
          <w:rStyle w:val="C3"/>
          <w:rFonts w:ascii="方正姚体" w:hAnsi="方正姚体"/>
          <w:sz w:val="32"/>
        </w:rPr>
        <w:t>医疗机构申请配制处方来源于市级及以上级别名中医经验方的中药制剂品种，实行优先审评审批，仅用传统工艺配制的中药制剂品种实行备案管理。</w:t>
      </w:r>
    </w:p>
    <w:p>
      <w:pPr>
        <w:pStyle w:val="P1"/>
        <w:spacing w:lineRule="exact" w:line="594"/>
        <w:ind w:firstLine="640"/>
        <w:rPr>
          <w:rStyle w:val="C3"/>
          <w:rFonts w:ascii="Times New Roman" w:hAnsi="Times New Roman"/>
          <w:sz w:val="32"/>
        </w:rPr>
      </w:pPr>
      <w:r>
        <w:rPr>
          <w:rStyle w:val="C3"/>
          <w:rFonts w:ascii="方正姚体" w:hAnsi="方正姚体"/>
          <w:sz w:val="32"/>
        </w:rPr>
        <w:t>市中医药主管部门和市药品监督管理部门应当推动中药制剂使用和二次开发，支持以中药制剂为基础的中药新药研发。</w:t>
      </w:r>
    </w:p>
    <w:p>
      <w:pPr>
        <w:pStyle w:val="P1"/>
        <w:spacing w:lineRule="exact" w:line="594"/>
        <w:ind w:firstLine="640"/>
        <w:rPr>
          <w:rStyle w:val="C3"/>
          <w:rFonts w:ascii="Times New Roman" w:hAnsi="Times New Roman"/>
          <w:sz w:val="32"/>
        </w:rPr>
      </w:pPr>
      <w:r>
        <w:rPr>
          <w:rStyle w:val="C3"/>
          <w:rFonts w:ascii="黑体" w:hAnsi="黑体"/>
          <w:sz w:val="32"/>
        </w:rPr>
        <w:t>第三十四条</w:t>
      </w:r>
      <w:r>
        <w:rPr>
          <w:rStyle w:val="C3"/>
          <w:rFonts w:ascii="Times New Roman" w:hAnsi="Times New Roman"/>
          <w:sz w:val="32"/>
        </w:rPr>
        <w:t xml:space="preserve">  </w:t>
      </w:r>
      <w:r>
        <w:rPr>
          <w:rStyle w:val="C3"/>
          <w:rFonts w:ascii="方正姚体" w:hAnsi="方正姚体"/>
          <w:sz w:val="32"/>
        </w:rPr>
        <w:t>以下情形不纳入医疗机构中药制剂管理范围：</w:t>
      </w:r>
    </w:p>
    <w:p>
      <w:pPr>
        <w:pStyle w:val="P1"/>
        <w:spacing w:lineRule="exact" w:line="594"/>
        <w:ind w:firstLine="640"/>
        <w:rPr>
          <w:rStyle w:val="C3"/>
          <w:rFonts w:ascii="Times New Roman" w:hAnsi="Times New Roman"/>
          <w:sz w:val="32"/>
        </w:rPr>
      </w:pPr>
      <w:r>
        <w:rPr>
          <w:rStyle w:val="C3"/>
          <w:rFonts w:ascii="方正姚体" w:hAnsi="方正姚体"/>
          <w:sz w:val="32"/>
        </w:rPr>
        <w:t>（一）中药加工成细粉，临用时加水、酒、醋、蜜、麻油等中药传统基质调配外用，在医疗机构内由医务人员调配使用；</w:t>
      </w:r>
    </w:p>
    <w:p>
      <w:pPr>
        <w:pStyle w:val="P1"/>
        <w:spacing w:lineRule="exact" w:line="594"/>
        <w:ind w:firstLine="640"/>
        <w:rPr>
          <w:rStyle w:val="C3"/>
          <w:rFonts w:ascii="Times New Roman" w:hAnsi="Times New Roman"/>
          <w:sz w:val="32"/>
        </w:rPr>
      </w:pPr>
      <w:r>
        <w:rPr>
          <w:rStyle w:val="C3"/>
          <w:rFonts w:ascii="方正姚体" w:hAnsi="方正姚体"/>
          <w:sz w:val="32"/>
        </w:rPr>
        <w:t>（二）鲜药榨汁；</w:t>
      </w:r>
    </w:p>
    <w:p>
      <w:pPr>
        <w:pStyle w:val="P1"/>
        <w:spacing w:lineRule="exact" w:line="594"/>
        <w:ind w:firstLine="640"/>
        <w:rPr>
          <w:rStyle w:val="C3"/>
          <w:rFonts w:ascii="Times New Roman" w:hAnsi="Times New Roman"/>
          <w:sz w:val="32"/>
        </w:rPr>
      </w:pPr>
      <w:r>
        <w:rPr>
          <w:rStyle w:val="C3"/>
          <w:rFonts w:ascii="方正姚体" w:hAnsi="方正姚体"/>
          <w:sz w:val="32"/>
        </w:rPr>
        <w:t>（三）受患者委托，医疗机构按照医师为该患者开具的处方（一人一方）应用中药传统工艺加工而成的中药制品；</w:t>
      </w:r>
    </w:p>
    <w:p>
      <w:pPr>
        <w:pStyle w:val="P1"/>
        <w:spacing w:lineRule="exact" w:line="594"/>
        <w:ind w:firstLine="640"/>
        <w:rPr>
          <w:rStyle w:val="C3"/>
          <w:rFonts w:ascii="Times New Roman" w:hAnsi="Times New Roman"/>
          <w:sz w:val="32"/>
        </w:rPr>
      </w:pPr>
      <w:r>
        <w:rPr>
          <w:rStyle w:val="C3"/>
          <w:rFonts w:ascii="方正姚体" w:hAnsi="方正姚体"/>
          <w:sz w:val="32"/>
        </w:rPr>
        <w:t>（四）法律法规规定的不作为医疗机构中药制剂管理的其他情形。</w:t>
      </w:r>
    </w:p>
    <w:p>
      <w:pPr>
        <w:pStyle w:val="P1"/>
        <w:spacing w:lineRule="exact" w:line="594"/>
        <w:ind w:firstLine="640"/>
        <w:rPr>
          <w:rStyle w:val="C3"/>
          <w:rFonts w:ascii="Times New Roman" w:hAnsi="Times New Roman"/>
          <w:sz w:val="32"/>
        </w:rPr>
      </w:pPr>
      <w:r>
        <w:rPr>
          <w:rStyle w:val="C3"/>
          <w:rFonts w:ascii="黑体" w:hAnsi="黑体"/>
          <w:sz w:val="32"/>
        </w:rPr>
        <w:t>第三十五条</w:t>
      </w:r>
      <w:r>
        <w:rPr>
          <w:rStyle w:val="C3"/>
          <w:rFonts w:ascii="Times New Roman" w:hAnsi="Times New Roman"/>
          <w:sz w:val="32"/>
        </w:rPr>
        <w:t xml:space="preserve">  </w:t>
      </w:r>
      <w:r>
        <w:rPr>
          <w:rStyle w:val="C3"/>
          <w:rFonts w:ascii="方正姚体" w:hAnsi="方正姚体"/>
          <w:sz w:val="32"/>
        </w:rPr>
        <w:t>经市药品监督管理部门批准，医疗机构配制的中药制剂可以在指定的医疗机构之间调剂使用。</w:t>
      </w:r>
      <w:r>
        <w:rPr>
          <w:rStyle w:val="C3"/>
          <w:rFonts w:ascii="Times New Roman" w:hAnsi="Times New Roman"/>
          <w:sz w:val="32"/>
        </w:rPr>
        <w:t xml:space="preserve">  </w:t>
      </w:r>
    </w:p>
    <w:p>
      <w:pPr>
        <w:pStyle w:val="P1"/>
        <w:spacing w:lineRule="exact" w:line="594"/>
        <w:ind w:firstLine="640"/>
        <w:rPr>
          <w:rStyle w:val="C3"/>
          <w:rFonts w:ascii="Times New Roman" w:hAnsi="Times New Roman"/>
          <w:sz w:val="32"/>
        </w:rPr>
      </w:pPr>
      <w:r>
        <w:rPr>
          <w:rStyle w:val="C3"/>
          <w:rFonts w:ascii="方正姚体" w:hAnsi="方正姚体"/>
          <w:sz w:val="32"/>
        </w:rPr>
        <w:t>市药品监督管理部门对调剂使用的中药制剂可以按照品种批准，同时应当简化批准手续并加强对医疗机构配制、使用的中药制剂质量的监督检查。</w:t>
      </w:r>
      <w:r>
        <w:rPr>
          <w:rStyle w:val="C3"/>
          <w:rFonts w:ascii="Times New Roman" w:hAnsi="Times New Roman"/>
          <w:sz w:val="32"/>
        </w:rPr>
        <w:t xml:space="preserve"> </w:t>
      </w:r>
    </w:p>
    <w:p>
      <w:pPr>
        <w:pStyle w:val="P1"/>
        <w:spacing w:lineRule="exact" w:line="594"/>
        <w:ind w:firstLine="640"/>
        <w:rPr>
          <w:rStyle w:val="C3"/>
          <w:rFonts w:ascii="Times New Roman" w:hAnsi="Times New Roman"/>
          <w:sz w:val="32"/>
        </w:rPr>
      </w:pPr>
      <w:r>
        <w:rPr>
          <w:rStyle w:val="C3"/>
          <w:rFonts w:ascii="方正姚体" w:hAnsi="方正姚体"/>
          <w:sz w:val="32"/>
        </w:rPr>
        <w:t>对临床急需且市场短缺的中药制剂，市中医药主管部门会同药品监督管理部门可以从医疗机构临床使用五年以上、疗效确切、安全稳定、无严重不良反应的医疗机构中药制剂中遴选确定可调剂的品种目录，并确定在全市医疗机构中的使用单位。</w:t>
      </w:r>
      <w:r>
        <w:rPr>
          <w:rStyle w:val="C3"/>
          <w:rFonts w:ascii="Times New Roman" w:hAnsi="Times New Roman"/>
          <w:sz w:val="32"/>
        </w:rPr>
        <w:t xml:space="preserve"> </w:t>
      </w:r>
    </w:p>
    <w:p>
      <w:pPr>
        <w:pStyle w:val="P1"/>
        <w:spacing w:lineRule="exact" w:line="594"/>
        <w:ind w:firstLine="640"/>
        <w:rPr>
          <w:rStyle w:val="C3"/>
          <w:rFonts w:ascii="Times New Roman" w:hAnsi="Times New Roman"/>
          <w:sz w:val="32"/>
        </w:rPr>
      </w:pPr>
      <w:r>
        <w:rPr>
          <w:rStyle w:val="C3"/>
          <w:rFonts w:ascii="方正姚体" w:hAnsi="方正姚体"/>
          <w:sz w:val="32"/>
        </w:rPr>
        <w:t>配制中药制剂的医疗机构应当对调剂使用中药制剂的医疗机构开展指导和培训，确保合理使用；运输、储存医疗机构配制的中药制剂，应当符合相关规定，确保质量安全。医疗机构应当加强对中药制剂品种的不良反应监测，并按照国家有关规定报告。</w:t>
      </w:r>
    </w:p>
    <w:p>
      <w:pPr>
        <w:pStyle w:val="P1"/>
        <w:spacing w:lineRule="exact" w:line="594"/>
        <w:ind w:firstLine="640"/>
        <w:rPr>
          <w:rStyle w:val="C3"/>
          <w:rFonts w:ascii="Times New Roman" w:hAnsi="Times New Roman"/>
          <w:sz w:val="32"/>
        </w:rPr>
      </w:pPr>
      <w:r>
        <w:rPr>
          <w:rStyle w:val="C3"/>
          <w:rFonts w:ascii="黑体" w:hAnsi="黑体"/>
          <w:sz w:val="32"/>
        </w:rPr>
        <w:t>第三十六条</w:t>
      </w:r>
      <w:r>
        <w:rPr>
          <w:rStyle w:val="C3"/>
          <w:rFonts w:ascii="Times New Roman" w:hAnsi="Times New Roman"/>
          <w:sz w:val="32"/>
        </w:rPr>
        <w:t xml:space="preserve">  </w:t>
      </w:r>
      <w:r>
        <w:rPr>
          <w:rStyle w:val="C3"/>
          <w:rFonts w:ascii="方正姚体" w:hAnsi="方正姚体"/>
          <w:sz w:val="32"/>
        </w:rPr>
        <w:t>医疗机构提供或者委托中药饮片生产经营企业提供中药饮片调剂、煎煮、配送服务的，应当加强对调剂、煎煮、配送服务的全流程监管，并对质量负责。</w:t>
      </w:r>
    </w:p>
    <w:p>
      <w:pPr>
        <w:pStyle w:val="P1"/>
        <w:spacing w:lineRule="exact" w:line="594"/>
        <w:ind w:firstLine="640"/>
        <w:rPr>
          <w:rStyle w:val="C3"/>
          <w:rFonts w:ascii="Times New Roman" w:hAnsi="Times New Roman"/>
          <w:sz w:val="32"/>
        </w:rPr>
      </w:pPr>
      <w:r>
        <w:rPr>
          <w:rStyle w:val="C3"/>
          <w:rFonts w:ascii="方正姚体" w:hAnsi="方正姚体"/>
          <w:sz w:val="32"/>
        </w:rPr>
        <w:t>提供中药饮片煎煮服务的，应当具备相应条件，遵守相关技术规范，建立煎煮全过程记录制度和质量跟踪、追溯、监控体系。</w:t>
      </w:r>
    </w:p>
    <w:p>
      <w:pPr>
        <w:pStyle w:val="P1"/>
        <w:spacing w:lineRule="exact" w:line="594"/>
        <w:ind w:firstLine="640"/>
        <w:rPr>
          <w:rStyle w:val="C3"/>
          <w:rFonts w:ascii="Times New Roman" w:hAnsi="Times New Roman"/>
          <w:sz w:val="32"/>
        </w:rPr>
      </w:pPr>
      <w:r>
        <w:rPr>
          <w:rStyle w:val="C3"/>
          <w:rFonts w:ascii="方正姚体" w:hAnsi="方正姚体"/>
          <w:sz w:val="32"/>
        </w:rPr>
        <w:t>提供中药配送服务的，应当具备开展中药配送的物流条件，配备专人负责配送，做好配送过程记录。</w:t>
      </w:r>
    </w:p>
    <w:p>
      <w:pPr>
        <w:pStyle w:val="P1"/>
        <w:spacing w:lineRule="exact" w:line="594"/>
        <w:ind w:firstLine="640"/>
        <w:rPr>
          <w:rStyle w:val="C3"/>
          <w:rFonts w:ascii="Times New Roman" w:hAnsi="Times New Roman"/>
          <w:sz w:val="32"/>
        </w:rPr>
      </w:pPr>
      <w:r>
        <w:rPr>
          <w:rStyle w:val="C3"/>
          <w:rFonts w:ascii="方正姚体" w:hAnsi="方正姚体"/>
          <w:sz w:val="32"/>
        </w:rPr>
        <w:t>医疗机构委托提供调剂、煎煮、配送服务的具体规范由市中医药主管部门会同市药品监督管理等相关部门制定。</w:t>
      </w:r>
    </w:p>
    <w:p>
      <w:pPr>
        <w:pStyle w:val="P1"/>
        <w:spacing w:lineRule="exact" w:line="594"/>
        <w:ind w:firstLine="640"/>
        <w:rPr>
          <w:rStyle w:val="C3"/>
          <w:rFonts w:ascii="Times New Roman" w:hAnsi="Times New Roman"/>
          <w:sz w:val="32"/>
        </w:rPr>
      </w:pPr>
      <w:r>
        <w:rPr>
          <w:rStyle w:val="C3"/>
          <w:rFonts w:ascii="黑体" w:hAnsi="黑体"/>
          <w:sz w:val="32"/>
        </w:rPr>
        <w:t>第三十七条</w:t>
      </w:r>
      <w:r>
        <w:rPr>
          <w:rStyle w:val="C3"/>
          <w:rFonts w:ascii="Times New Roman" w:hAnsi="Times New Roman"/>
          <w:sz w:val="32"/>
        </w:rPr>
        <w:t xml:space="preserve">  </w:t>
      </w:r>
      <w:r>
        <w:rPr>
          <w:rStyle w:val="C3"/>
          <w:rFonts w:ascii="方正姚体" w:hAnsi="方正姚体"/>
          <w:sz w:val="32"/>
        </w:rPr>
        <w:t>市、区县（自治县）人民政府应当充分利用本地中医药资源优势，支持开展中医药保健品、药食（膳）、药浴等产品研究开发，推动中医药与养生保健、养老、旅游、文化等产业融合发展。</w:t>
      </w:r>
    </w:p>
    <w:p>
      <w:pPr>
        <w:pStyle w:val="P1"/>
        <w:spacing w:lineRule="exact" w:line="594"/>
        <w:ind w:firstLine="640"/>
        <w:rPr>
          <w:rStyle w:val="C3"/>
          <w:rFonts w:ascii="Times New Roman" w:hAnsi="Times New Roman"/>
          <w:sz w:val="32"/>
        </w:rPr>
      </w:pPr>
    </w:p>
    <w:p>
      <w:pPr>
        <w:pStyle w:val="P4"/>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中医药传承与创新</w:t>
      </w:r>
    </w:p>
    <w:p>
      <w:pPr>
        <w:pStyle w:val="P1"/>
        <w:spacing w:lineRule="exact" w:line="594"/>
        <w:ind w:firstLine="640"/>
        <w:rPr>
          <w:rStyle w:val="C3"/>
          <w:rFonts w:ascii="Times New Roman" w:hAnsi="Times New Roman"/>
          <w:sz w:val="32"/>
        </w:rPr>
      </w:pPr>
    </w:p>
    <w:p>
      <w:pPr>
        <w:pStyle w:val="P1"/>
        <w:spacing w:lineRule="exact" w:line="594"/>
        <w:ind w:firstLine="640"/>
        <w:rPr>
          <w:rStyle w:val="C3"/>
          <w:rFonts w:ascii="Times New Roman" w:hAnsi="Times New Roman"/>
          <w:sz w:val="32"/>
        </w:rPr>
      </w:pPr>
      <w:r>
        <w:rPr>
          <w:rStyle w:val="C3"/>
          <w:rFonts w:ascii="黑体" w:hAnsi="黑体"/>
          <w:sz w:val="32"/>
        </w:rPr>
        <w:t>第三十八条</w:t>
      </w:r>
      <w:r>
        <w:rPr>
          <w:rStyle w:val="C3"/>
          <w:rFonts w:ascii="Times New Roman" w:hAnsi="Times New Roman"/>
          <w:sz w:val="32"/>
        </w:rPr>
        <w:t xml:space="preserve">  </w:t>
      </w:r>
      <w:r>
        <w:rPr>
          <w:rStyle w:val="C3"/>
          <w:rFonts w:ascii="方正姚体" w:hAnsi="方正姚体"/>
          <w:sz w:val="32"/>
        </w:rPr>
        <w:t>市、区县（自治县）中医药主管部门应当会同有关部门建立完善名中医评选、激励机制，定期开展名中医评选工作。</w:t>
      </w:r>
    </w:p>
    <w:p>
      <w:pPr>
        <w:pStyle w:val="P1"/>
        <w:spacing w:lineRule="exact" w:line="594"/>
        <w:ind w:firstLine="640"/>
        <w:rPr>
          <w:rStyle w:val="C3"/>
          <w:rFonts w:ascii="Times New Roman" w:hAnsi="Times New Roman"/>
          <w:sz w:val="32"/>
        </w:rPr>
      </w:pPr>
      <w:r>
        <w:rPr>
          <w:rStyle w:val="C3"/>
          <w:rFonts w:ascii="方正姚体" w:hAnsi="方正姚体"/>
          <w:sz w:val="32"/>
        </w:rPr>
        <w:t>市中医药主管部门应当加强整理研究及传承国医大师、名中医、老药工和本地中医药学术流派的经验和技艺，支持其建立传承工作室，在基层医疗机构设立分站，培养传承人。</w:t>
      </w:r>
    </w:p>
    <w:p>
      <w:pPr>
        <w:pStyle w:val="P1"/>
        <w:spacing w:lineRule="exact" w:line="594"/>
        <w:ind w:firstLine="640"/>
        <w:rPr>
          <w:rStyle w:val="C3"/>
          <w:rFonts w:ascii="Times New Roman" w:hAnsi="Times New Roman"/>
          <w:sz w:val="32"/>
        </w:rPr>
      </w:pPr>
      <w:r>
        <w:rPr>
          <w:rStyle w:val="C3"/>
          <w:rFonts w:ascii="黑体" w:hAnsi="黑体"/>
          <w:sz w:val="32"/>
        </w:rPr>
        <w:t>第三十九条</w:t>
      </w:r>
      <w:r>
        <w:rPr>
          <w:rStyle w:val="C3"/>
          <w:rFonts w:ascii="Times New Roman" w:hAnsi="Times New Roman"/>
          <w:sz w:val="32"/>
        </w:rPr>
        <w:t xml:space="preserve">  </w:t>
      </w:r>
      <w:r>
        <w:rPr>
          <w:rStyle w:val="C3"/>
          <w:rFonts w:ascii="方正姚体" w:hAnsi="方正姚体"/>
          <w:sz w:val="32"/>
        </w:rPr>
        <w:t>市、区县（自治县）人民政府应当加强传统医药类非物质文化遗产的保护与传承，将具有巴渝特色的传统中医药技艺列入非物质文化遗产代表性项目名录予以保护，并加以有效利用。</w:t>
      </w:r>
    </w:p>
    <w:p>
      <w:pPr>
        <w:pStyle w:val="P1"/>
        <w:spacing w:lineRule="exact" w:line="594"/>
        <w:ind w:firstLine="640"/>
        <w:rPr>
          <w:rStyle w:val="C3"/>
          <w:rFonts w:ascii="Times New Roman" w:hAnsi="Times New Roman"/>
          <w:sz w:val="32"/>
        </w:rPr>
      </w:pPr>
      <w:r>
        <w:rPr>
          <w:rStyle w:val="C3"/>
          <w:rFonts w:ascii="方正姚体" w:hAnsi="方正姚体"/>
          <w:sz w:val="32"/>
        </w:rPr>
        <w:t>市、区县（自治县）文化旅游部门应当全面了解传统医药类非物质文化遗产，建立传统医药类非物质文化遗产相关数据库。</w:t>
      </w:r>
    </w:p>
    <w:p>
      <w:pPr>
        <w:pStyle w:val="P1"/>
        <w:spacing w:lineRule="exact" w:line="594"/>
        <w:ind w:firstLine="640"/>
        <w:rPr>
          <w:rStyle w:val="C3"/>
          <w:rFonts w:ascii="Times New Roman" w:hAnsi="Times New Roman"/>
          <w:sz w:val="32"/>
        </w:rPr>
      </w:pPr>
      <w:r>
        <w:rPr>
          <w:rStyle w:val="C3"/>
          <w:rFonts w:ascii="方正姚体" w:hAnsi="方正姚体"/>
          <w:sz w:val="32"/>
        </w:rPr>
        <w:t>市、区县（自治县）文化旅游部门开展传统医药类非物质文化遗产代表性项目和代表性传承人认定工作，应当征求本级中医药主管部门意见。</w:t>
      </w:r>
    </w:p>
    <w:p>
      <w:pPr>
        <w:pStyle w:val="P1"/>
        <w:spacing w:lineRule="exact" w:line="594"/>
        <w:ind w:firstLine="640"/>
        <w:rPr>
          <w:rStyle w:val="C3"/>
          <w:rFonts w:ascii="Times New Roman" w:hAnsi="Times New Roman"/>
          <w:sz w:val="32"/>
        </w:rPr>
      </w:pPr>
      <w:r>
        <w:rPr>
          <w:rStyle w:val="C3"/>
          <w:rFonts w:ascii="黑体" w:hAnsi="黑体"/>
          <w:sz w:val="32"/>
        </w:rPr>
        <w:t>第四十条</w:t>
      </w:r>
      <w:r>
        <w:rPr>
          <w:rStyle w:val="C3"/>
          <w:rFonts w:ascii="Times New Roman" w:hAnsi="Times New Roman"/>
          <w:sz w:val="32"/>
        </w:rPr>
        <w:t xml:space="preserve">  </w:t>
      </w:r>
      <w:r>
        <w:rPr>
          <w:rStyle w:val="C3"/>
          <w:rFonts w:ascii="方正姚体" w:hAnsi="方正姚体"/>
          <w:sz w:val="32"/>
        </w:rPr>
        <w:t>市中医药主管部门应当挖掘整理并妥善保护濒临失传的中医药古籍文献、经典名方、民间验方秘方、中医特色诊疗方法和技术，支持高等院校、科研机构、医疗机构等对其进行整理研究和开发利用。</w:t>
      </w:r>
    </w:p>
    <w:p>
      <w:pPr>
        <w:pStyle w:val="P1"/>
        <w:spacing w:lineRule="exact" w:line="594"/>
        <w:ind w:firstLine="640"/>
        <w:rPr>
          <w:rStyle w:val="C3"/>
          <w:rFonts w:ascii="Times New Roman" w:hAnsi="Times New Roman"/>
          <w:sz w:val="32"/>
        </w:rPr>
      </w:pPr>
      <w:r>
        <w:rPr>
          <w:rStyle w:val="C3"/>
          <w:rFonts w:ascii="方正姚体" w:hAnsi="方正姚体"/>
          <w:sz w:val="32"/>
        </w:rPr>
        <w:t>鼓励社会各界捐献有科学研究和临床应用价值的中医药古籍文献、经典名方、民间验方秘方、中医特色诊疗方法和技术。</w:t>
      </w:r>
    </w:p>
    <w:p>
      <w:pPr>
        <w:pStyle w:val="P1"/>
        <w:spacing w:lineRule="exact" w:line="594"/>
        <w:ind w:firstLine="640"/>
        <w:rPr>
          <w:rStyle w:val="C3"/>
          <w:rFonts w:ascii="Times New Roman" w:hAnsi="Times New Roman"/>
          <w:sz w:val="32"/>
        </w:rPr>
      </w:pPr>
      <w:r>
        <w:rPr>
          <w:rStyle w:val="C3"/>
          <w:rFonts w:ascii="黑体" w:hAnsi="黑体"/>
          <w:sz w:val="32"/>
        </w:rPr>
        <w:t>第四十一条</w:t>
      </w:r>
      <w:r>
        <w:rPr>
          <w:rStyle w:val="C3"/>
          <w:rFonts w:ascii="Times New Roman" w:hAnsi="Times New Roman"/>
          <w:sz w:val="32"/>
        </w:rPr>
        <w:t xml:space="preserve">  </w:t>
      </w:r>
      <w:r>
        <w:rPr>
          <w:rStyle w:val="C3"/>
          <w:rFonts w:ascii="方正姚体" w:hAnsi="方正姚体"/>
          <w:sz w:val="32"/>
        </w:rPr>
        <w:t>市教育行政、市中医药主管等部门应当按照中医药事业发展的需要，完善中医药教育体系，重点发展中医药高等教育和职业教育，支持中医药重点院校和重点学科建设。</w:t>
      </w:r>
    </w:p>
    <w:p>
      <w:pPr>
        <w:pStyle w:val="P1"/>
        <w:spacing w:lineRule="exact" w:line="594"/>
        <w:ind w:firstLine="640"/>
        <w:rPr>
          <w:rStyle w:val="C3"/>
          <w:rFonts w:ascii="Times New Roman" w:hAnsi="Times New Roman"/>
          <w:sz w:val="32"/>
        </w:rPr>
      </w:pPr>
      <w:r>
        <w:rPr>
          <w:rStyle w:val="C3"/>
          <w:rFonts w:ascii="方正姚体" w:hAnsi="方正姚体"/>
          <w:sz w:val="32"/>
        </w:rPr>
        <w:t>中医药高等教育应当优化学科专业结构和人才培养方案，强化中医药专业主体地位，鼓励西医学生学习中医药。临床医学类专业应当将中医课程列入必修课，提高临床类别医师中医药知识和技能水平。</w:t>
      </w:r>
    </w:p>
    <w:p>
      <w:pPr>
        <w:pStyle w:val="P1"/>
        <w:spacing w:lineRule="exact" w:line="594"/>
        <w:ind w:firstLine="640"/>
        <w:rPr>
          <w:rStyle w:val="C3"/>
          <w:rFonts w:ascii="Times New Roman" w:hAnsi="Times New Roman"/>
          <w:sz w:val="32"/>
        </w:rPr>
      </w:pPr>
      <w:r>
        <w:rPr>
          <w:rStyle w:val="C3"/>
          <w:rFonts w:ascii="方正姚体" w:hAnsi="方正姚体"/>
          <w:sz w:val="32"/>
        </w:rPr>
        <w:t>支持发展中医药职业教育，培养中医康复、护理、养生保健、健康管理等技术技能人才，以及中药材种植、中药炮制等中药特色技术人才。</w:t>
      </w:r>
    </w:p>
    <w:p>
      <w:pPr>
        <w:pStyle w:val="P1"/>
        <w:spacing w:lineRule="exact" w:line="594"/>
        <w:ind w:firstLine="640"/>
        <w:rPr>
          <w:rStyle w:val="C3"/>
          <w:rFonts w:ascii="Times New Roman" w:hAnsi="Times New Roman"/>
          <w:sz w:val="32"/>
        </w:rPr>
      </w:pPr>
      <w:r>
        <w:rPr>
          <w:rStyle w:val="C3"/>
          <w:rFonts w:ascii="黑体" w:hAnsi="黑体"/>
          <w:sz w:val="32"/>
        </w:rPr>
        <w:t>第四十二条</w:t>
      </w:r>
      <w:r>
        <w:rPr>
          <w:rStyle w:val="C3"/>
          <w:rFonts w:ascii="Times New Roman" w:hAnsi="Times New Roman"/>
          <w:sz w:val="32"/>
        </w:rPr>
        <w:t xml:space="preserve">  </w:t>
      </w:r>
      <w:r>
        <w:rPr>
          <w:rStyle w:val="C3"/>
          <w:rFonts w:ascii="方正姚体" w:hAnsi="方正姚体"/>
          <w:sz w:val="32"/>
        </w:rPr>
        <w:t>中医药高等院校（系）应当加强对临床教学基地的管理，强化临床教学职能，其附属医院应当设立覆盖主要临床科室的教学门诊和教学病床。</w:t>
      </w:r>
    </w:p>
    <w:p>
      <w:pPr>
        <w:pStyle w:val="P1"/>
        <w:spacing w:lineRule="exact" w:line="594"/>
        <w:ind w:firstLine="640"/>
        <w:rPr>
          <w:rStyle w:val="C3"/>
          <w:rFonts w:ascii="Times New Roman" w:hAnsi="Times New Roman"/>
          <w:sz w:val="32"/>
        </w:rPr>
      </w:pPr>
      <w:r>
        <w:rPr>
          <w:rStyle w:val="C3"/>
          <w:rFonts w:ascii="方正姚体" w:hAnsi="方正姚体"/>
          <w:sz w:val="32"/>
        </w:rPr>
        <w:t>中医医院根据院校双方协议挂牌成为高等院校附属中医医院，应当征求市中医药主管部门和市教育行政部门意见。</w:t>
      </w:r>
    </w:p>
    <w:p>
      <w:pPr>
        <w:pStyle w:val="P1"/>
        <w:spacing w:lineRule="exact" w:line="594"/>
        <w:ind w:firstLine="640"/>
        <w:rPr>
          <w:rStyle w:val="C3"/>
          <w:rFonts w:ascii="Times New Roman" w:hAnsi="Times New Roman"/>
          <w:sz w:val="32"/>
        </w:rPr>
      </w:pPr>
      <w:r>
        <w:rPr>
          <w:rStyle w:val="C3"/>
          <w:rFonts w:ascii="黑体" w:hAnsi="黑体"/>
          <w:sz w:val="32"/>
        </w:rPr>
        <w:t>第四十三条</w:t>
      </w:r>
      <w:r>
        <w:rPr>
          <w:rStyle w:val="C3"/>
          <w:rFonts w:ascii="Times New Roman" w:hAnsi="Times New Roman"/>
          <w:sz w:val="32"/>
        </w:rPr>
        <w:t xml:space="preserve">  </w:t>
      </w:r>
      <w:r>
        <w:rPr>
          <w:rStyle w:val="C3"/>
          <w:rFonts w:ascii="方正姚体" w:hAnsi="方正姚体"/>
          <w:sz w:val="32"/>
        </w:rPr>
        <w:t>市、区县（自治县）中医药主管部门和教育行政部门应当将师承教育融入中医药院校教育、毕业后教育和继续教育。支持有丰富临床经验和技术专长的中医药专业技术人员开展师承教育，在执业、业务活动中带徒授业，培养中医药专业技术人员。</w:t>
      </w:r>
    </w:p>
    <w:p>
      <w:pPr>
        <w:pStyle w:val="P1"/>
        <w:spacing w:lineRule="exact" w:line="594"/>
        <w:ind w:firstLine="640"/>
        <w:rPr>
          <w:rStyle w:val="C3"/>
          <w:rFonts w:ascii="Times New Roman" w:hAnsi="Times New Roman"/>
          <w:sz w:val="32"/>
        </w:rPr>
      </w:pPr>
      <w:r>
        <w:rPr>
          <w:rStyle w:val="C3"/>
          <w:rFonts w:ascii="方正姚体" w:hAnsi="方正姚体"/>
          <w:sz w:val="32"/>
        </w:rPr>
        <w:t>参加中医药师承教育的指导老师依照国家和本市有关规定享有师承带教补助，在同等条件下享有职位晋升、职称评聘、中医药荣誉称号评选等方面的优先权利。</w:t>
      </w:r>
    </w:p>
    <w:p>
      <w:pPr>
        <w:pStyle w:val="P1"/>
        <w:spacing w:lineRule="exact" w:line="594"/>
        <w:ind w:firstLine="640"/>
        <w:rPr>
          <w:rStyle w:val="C3"/>
          <w:rFonts w:ascii="Times New Roman" w:hAnsi="Times New Roman"/>
          <w:sz w:val="32"/>
        </w:rPr>
      </w:pPr>
      <w:r>
        <w:rPr>
          <w:rStyle w:val="C3"/>
          <w:rFonts w:ascii="方正姚体" w:hAnsi="方正姚体"/>
          <w:sz w:val="32"/>
        </w:rPr>
        <w:t>参加市级以上老中医药专家学术经验继承工作的继承人，经考核合格，符合职称评聘有关规定的，在同等条件下优先评审高一级职称。</w:t>
      </w:r>
    </w:p>
    <w:p>
      <w:pPr>
        <w:pStyle w:val="P1"/>
        <w:spacing w:lineRule="exact" w:line="594"/>
        <w:ind w:firstLine="640"/>
        <w:rPr>
          <w:rStyle w:val="C3"/>
          <w:rFonts w:ascii="Times New Roman" w:hAnsi="Times New Roman"/>
          <w:sz w:val="32"/>
        </w:rPr>
      </w:pPr>
      <w:r>
        <w:rPr>
          <w:rStyle w:val="C3"/>
          <w:rFonts w:ascii="黑体" w:hAnsi="黑体"/>
          <w:sz w:val="32"/>
        </w:rPr>
        <w:t>第四十四条</w:t>
      </w:r>
      <w:r>
        <w:rPr>
          <w:rStyle w:val="C3"/>
          <w:rFonts w:ascii="Times New Roman" w:hAnsi="Times New Roman"/>
          <w:sz w:val="32"/>
        </w:rPr>
        <w:t xml:space="preserve">  </w:t>
      </w:r>
      <w:r>
        <w:rPr>
          <w:rStyle w:val="C3"/>
          <w:rFonts w:ascii="方正姚体" w:hAnsi="方正姚体"/>
          <w:sz w:val="32"/>
        </w:rPr>
        <w:t>中医药专业技术人员应当按照规定参加继续教育，继续教育应当以中医药内容为主，所在机构应当为其接受继续教育创造条件。临床、口腔、公共卫生类别医生应当接受必要的中医药继续教育。</w:t>
      </w:r>
    </w:p>
    <w:p>
      <w:pPr>
        <w:pStyle w:val="P1"/>
        <w:spacing w:lineRule="exact" w:line="594"/>
        <w:ind w:firstLine="640"/>
        <w:rPr>
          <w:rStyle w:val="C3"/>
          <w:rFonts w:ascii="Times New Roman" w:hAnsi="Times New Roman"/>
          <w:sz w:val="32"/>
        </w:rPr>
      </w:pPr>
      <w:r>
        <w:rPr>
          <w:rStyle w:val="C3"/>
          <w:rFonts w:ascii="黑体" w:hAnsi="黑体"/>
          <w:sz w:val="32"/>
        </w:rPr>
        <w:t>第四十五条</w:t>
      </w:r>
      <w:r>
        <w:rPr>
          <w:rStyle w:val="C3"/>
          <w:rFonts w:ascii="Times New Roman" w:hAnsi="Times New Roman"/>
          <w:sz w:val="32"/>
        </w:rPr>
        <w:t xml:space="preserve">  </w:t>
      </w:r>
      <w:r>
        <w:rPr>
          <w:rStyle w:val="C3"/>
          <w:rFonts w:ascii="方正姚体" w:hAnsi="方正姚体"/>
          <w:sz w:val="32"/>
        </w:rPr>
        <w:t>市中医药主管部门应当完善中西医结合人才培养政策措施，培养高层次中西医结合人才和能够提供中医药服务的基层全科医生，支持有条件的医疗机构和高等院校开展中西医结合系统培训。</w:t>
      </w:r>
    </w:p>
    <w:p>
      <w:pPr>
        <w:pStyle w:val="P1"/>
        <w:spacing w:lineRule="exact" w:line="594"/>
        <w:ind w:firstLine="640"/>
        <w:rPr>
          <w:rStyle w:val="C3"/>
          <w:rFonts w:ascii="Times New Roman" w:hAnsi="Times New Roman"/>
          <w:sz w:val="32"/>
        </w:rPr>
      </w:pPr>
      <w:r>
        <w:rPr>
          <w:rStyle w:val="C3"/>
          <w:rFonts w:ascii="方正姚体" w:hAnsi="方正姚体"/>
          <w:sz w:val="32"/>
        </w:rPr>
        <w:t>市、区县（自治县）中医药主管部门应当将中医药知识纳入西医医师、乡村医生教育培训内容，促使其掌握必要的中医药理论知识和实践技能。</w:t>
      </w:r>
    </w:p>
    <w:p>
      <w:pPr>
        <w:pStyle w:val="P1"/>
        <w:spacing w:lineRule="exact" w:line="594"/>
        <w:ind w:firstLine="640"/>
        <w:rPr>
          <w:rStyle w:val="C3"/>
          <w:rFonts w:ascii="Times New Roman" w:hAnsi="Times New Roman"/>
          <w:sz w:val="32"/>
        </w:rPr>
      </w:pPr>
      <w:r>
        <w:rPr>
          <w:rStyle w:val="C3"/>
          <w:rFonts w:ascii="黑体" w:hAnsi="黑体"/>
          <w:sz w:val="32"/>
        </w:rPr>
        <w:t>第四十六条</w:t>
      </w:r>
      <w:r>
        <w:rPr>
          <w:rStyle w:val="C3"/>
          <w:rFonts w:ascii="Times New Roman" w:hAnsi="Times New Roman"/>
          <w:sz w:val="32"/>
        </w:rPr>
        <w:t xml:space="preserve">  </w:t>
      </w:r>
      <w:r>
        <w:rPr>
          <w:rStyle w:val="C3"/>
          <w:rFonts w:ascii="方正姚体" w:hAnsi="方正姚体"/>
          <w:sz w:val="32"/>
        </w:rPr>
        <w:t>市、区县（自治县）人民政府应当加强对中医药学术学科带头人、多学科交叉人才的培养，支持高层次创新团队建设。</w:t>
      </w:r>
    </w:p>
    <w:p>
      <w:pPr>
        <w:pStyle w:val="P1"/>
        <w:spacing w:lineRule="exact" w:line="594"/>
        <w:ind w:firstLine="640"/>
        <w:rPr>
          <w:rStyle w:val="C3"/>
          <w:rFonts w:ascii="Times New Roman" w:hAnsi="Times New Roman"/>
          <w:sz w:val="32"/>
        </w:rPr>
      </w:pPr>
      <w:r>
        <w:rPr>
          <w:rStyle w:val="C3"/>
          <w:rFonts w:ascii="方正姚体" w:hAnsi="方正姚体"/>
          <w:sz w:val="32"/>
        </w:rPr>
        <w:t>市、区县（自治县）人民政府应当鼓励中医药专业技术人员到县级以下医疗机构执业，并加强基层中医药人员接受继续教育、业务培训、进修等保障。</w:t>
      </w:r>
    </w:p>
    <w:p>
      <w:pPr>
        <w:pStyle w:val="P1"/>
        <w:spacing w:lineRule="exact" w:line="594"/>
        <w:ind w:firstLine="640"/>
        <w:rPr>
          <w:rStyle w:val="C3"/>
          <w:rFonts w:ascii="Times New Roman" w:hAnsi="Times New Roman"/>
          <w:sz w:val="32"/>
        </w:rPr>
      </w:pPr>
      <w:r>
        <w:rPr>
          <w:rStyle w:val="C3"/>
          <w:rFonts w:ascii="黑体" w:hAnsi="黑体"/>
          <w:sz w:val="32"/>
        </w:rPr>
        <w:t>第四十七条</w:t>
      </w:r>
      <w:r>
        <w:rPr>
          <w:rStyle w:val="C3"/>
          <w:rFonts w:ascii="Times New Roman" w:hAnsi="Times New Roman"/>
          <w:sz w:val="32"/>
        </w:rPr>
        <w:t xml:space="preserve">  </w:t>
      </w:r>
      <w:r>
        <w:rPr>
          <w:rStyle w:val="C3"/>
          <w:rFonts w:ascii="方正姚体" w:hAnsi="方正姚体"/>
          <w:sz w:val="32"/>
        </w:rPr>
        <w:t>市、区县（自治县）人民政府应当加大中医药科学研究投入和对科研项目、科技人才、科技平台的支持，推动中医药科学技术进步与创新。</w:t>
      </w:r>
    </w:p>
    <w:p>
      <w:pPr>
        <w:pStyle w:val="P1"/>
        <w:spacing w:lineRule="exact" w:line="594"/>
        <w:ind w:firstLine="640"/>
        <w:rPr>
          <w:rStyle w:val="C3"/>
          <w:rFonts w:ascii="Times New Roman" w:hAnsi="Times New Roman"/>
          <w:sz w:val="32"/>
        </w:rPr>
      </w:pPr>
      <w:r>
        <w:rPr>
          <w:rStyle w:val="C3"/>
          <w:rFonts w:ascii="方正姚体" w:hAnsi="方正姚体"/>
          <w:sz w:val="32"/>
        </w:rPr>
        <w:t>市、区县（自治县）科技、药品监督管理、中医药等主管部门应当完善中医药协同创新机制，加强中医药领域的科技攻关，支持中医药理论及临床研究、中药新药、中医药先进装备等研发，培育具有竞争力的本地中医药产业。</w:t>
      </w:r>
    </w:p>
    <w:p>
      <w:pPr>
        <w:pStyle w:val="P1"/>
        <w:spacing w:lineRule="exact" w:line="594"/>
        <w:ind w:firstLine="640"/>
        <w:rPr>
          <w:rStyle w:val="C3"/>
          <w:rFonts w:ascii="Times New Roman" w:hAnsi="Times New Roman"/>
          <w:sz w:val="32"/>
        </w:rPr>
      </w:pPr>
      <w:r>
        <w:rPr>
          <w:rStyle w:val="C3"/>
          <w:rFonts w:ascii="方正姚体" w:hAnsi="方正姚体"/>
          <w:sz w:val="32"/>
        </w:rPr>
        <w:t>鼓励和支持科研机构、高等院校、医疗机构和生产企业等建立科技创新平台，共享科研和临床信息，开展中医药研究和技术创新，促进中医药科技成果的转化和推广。</w:t>
      </w:r>
    </w:p>
    <w:p>
      <w:pPr>
        <w:pStyle w:val="P1"/>
        <w:spacing w:lineRule="exact" w:line="594"/>
        <w:ind w:firstLine="640"/>
        <w:rPr>
          <w:rStyle w:val="C3"/>
          <w:rFonts w:ascii="Times New Roman" w:hAnsi="Times New Roman"/>
          <w:sz w:val="32"/>
        </w:rPr>
      </w:pPr>
      <w:r>
        <w:rPr>
          <w:rStyle w:val="C3"/>
          <w:rFonts w:ascii="黑体" w:hAnsi="黑体"/>
          <w:sz w:val="32"/>
        </w:rPr>
        <w:t>第四十八条</w:t>
      </w:r>
      <w:r>
        <w:rPr>
          <w:rStyle w:val="C3"/>
          <w:rFonts w:ascii="Times New Roman" w:hAnsi="Times New Roman"/>
          <w:sz w:val="32"/>
        </w:rPr>
        <w:t xml:space="preserve">  </w:t>
      </w:r>
      <w:r>
        <w:rPr>
          <w:rStyle w:val="C3"/>
          <w:rFonts w:ascii="方正姚体" w:hAnsi="方正姚体"/>
          <w:sz w:val="32"/>
        </w:rPr>
        <w:t>本市依法保护中医药知识产权。</w:t>
      </w:r>
    </w:p>
    <w:p>
      <w:pPr>
        <w:pStyle w:val="P1"/>
        <w:spacing w:lineRule="exact" w:line="594"/>
        <w:ind w:firstLine="640"/>
        <w:rPr>
          <w:rStyle w:val="C3"/>
          <w:rFonts w:ascii="Times New Roman" w:hAnsi="Times New Roman"/>
          <w:sz w:val="32"/>
        </w:rPr>
      </w:pPr>
      <w:r>
        <w:rPr>
          <w:rStyle w:val="C3"/>
          <w:rFonts w:ascii="方正姚体" w:hAnsi="方正姚体"/>
          <w:sz w:val="32"/>
        </w:rPr>
        <w:t>市中医药主管部门应当会同市知识产权、市市场监督管理等部门指导有关单位和个人通过申请专利、注册商标、地理标志等方式，对中医药特色产品等进行知识产权保护，支持中医药知识产权转化运用；符合条件的，可以申请知识产权相关资金支持。</w:t>
      </w:r>
    </w:p>
    <w:p>
      <w:pPr>
        <w:pStyle w:val="P1"/>
        <w:spacing w:lineRule="exact" w:line="594"/>
        <w:ind w:firstLine="640"/>
        <w:rPr>
          <w:rStyle w:val="C3"/>
          <w:rFonts w:ascii="Times New Roman" w:hAnsi="Times New Roman"/>
          <w:sz w:val="32"/>
        </w:rPr>
      </w:pPr>
      <w:r>
        <w:rPr>
          <w:rStyle w:val="C3"/>
          <w:rFonts w:ascii="黑体" w:hAnsi="黑体"/>
          <w:sz w:val="32"/>
        </w:rPr>
        <w:t>第四十九条</w:t>
      </w:r>
      <w:r>
        <w:rPr>
          <w:rStyle w:val="C3"/>
          <w:rFonts w:ascii="Times New Roman" w:hAnsi="Times New Roman"/>
          <w:sz w:val="32"/>
        </w:rPr>
        <w:t xml:space="preserve">  </w:t>
      </w:r>
      <w:r>
        <w:rPr>
          <w:rStyle w:val="C3"/>
          <w:rFonts w:ascii="方正姚体" w:hAnsi="方正姚体"/>
          <w:sz w:val="32"/>
        </w:rPr>
        <w:t>市、区县（自治县）教育行政部门应当将中医药知识纳入中小学校卫生健康教育范围，中医药主管部门应当加强专业指导。</w:t>
      </w:r>
    </w:p>
    <w:p>
      <w:pPr>
        <w:pStyle w:val="P1"/>
        <w:spacing w:lineRule="exact" w:line="594"/>
        <w:ind w:firstLine="640"/>
        <w:rPr>
          <w:rStyle w:val="C3"/>
          <w:rFonts w:ascii="Times New Roman" w:hAnsi="Times New Roman"/>
          <w:sz w:val="32"/>
        </w:rPr>
      </w:pPr>
      <w:r>
        <w:rPr>
          <w:rStyle w:val="C3"/>
          <w:rFonts w:ascii="方正姚体" w:hAnsi="方正姚体"/>
          <w:sz w:val="32"/>
        </w:rPr>
        <w:t>新闻媒体以及政府举办的中医医疗机构、健康教育机构、新闻出版单位应当通过多种途径和方式弘扬中医药文化、普及中医药知识。</w:t>
      </w:r>
    </w:p>
    <w:p>
      <w:pPr>
        <w:pStyle w:val="P1"/>
        <w:spacing w:lineRule="exact" w:line="594"/>
        <w:ind w:firstLine="640"/>
        <w:rPr>
          <w:rStyle w:val="C3"/>
          <w:rFonts w:ascii="Times New Roman" w:hAnsi="Times New Roman"/>
          <w:sz w:val="32"/>
        </w:rPr>
      </w:pPr>
      <w:r>
        <w:rPr>
          <w:rStyle w:val="C3"/>
          <w:rFonts w:ascii="方正姚体" w:hAnsi="方正姚体"/>
          <w:sz w:val="32"/>
        </w:rPr>
        <w:t>鼓励社会力量投资建立中医药博物馆、展览馆、科技园、药用植物园等集中医药科普宣传、观光旅游、健康教育于一体的公共设施。</w:t>
      </w:r>
    </w:p>
    <w:p>
      <w:pPr>
        <w:pStyle w:val="P1"/>
        <w:spacing w:lineRule="exact" w:line="594"/>
        <w:ind w:firstLine="640"/>
        <w:rPr>
          <w:rStyle w:val="C3"/>
          <w:rFonts w:ascii="Times New Roman" w:hAnsi="Times New Roman"/>
          <w:sz w:val="32"/>
        </w:rPr>
      </w:pPr>
      <w:r>
        <w:rPr>
          <w:rStyle w:val="C3"/>
          <w:rFonts w:ascii="黑体" w:hAnsi="黑体"/>
          <w:sz w:val="32"/>
        </w:rPr>
        <w:t>第五十条</w:t>
      </w:r>
      <w:r>
        <w:rPr>
          <w:rStyle w:val="C3"/>
          <w:rFonts w:ascii="Times New Roman" w:hAnsi="Times New Roman"/>
          <w:sz w:val="32"/>
        </w:rPr>
        <w:t xml:space="preserve">  </w:t>
      </w:r>
      <w:r>
        <w:rPr>
          <w:rStyle w:val="C3"/>
          <w:rFonts w:ascii="方正姚体" w:hAnsi="方正姚体"/>
          <w:sz w:val="32"/>
        </w:rPr>
        <w:t>市、区县（自治县）人民政府支持中医药对外合作交流，鼓励开展涉外中医药服务。</w:t>
      </w:r>
    </w:p>
    <w:p>
      <w:pPr>
        <w:pStyle w:val="P1"/>
        <w:spacing w:lineRule="exact" w:line="594"/>
        <w:ind w:firstLine="640"/>
        <w:rPr>
          <w:rStyle w:val="C3"/>
          <w:rFonts w:ascii="Times New Roman" w:hAnsi="Times New Roman"/>
          <w:sz w:val="32"/>
        </w:rPr>
      </w:pPr>
      <w:r>
        <w:rPr>
          <w:rStyle w:val="C3"/>
          <w:rFonts w:ascii="方正姚体" w:hAnsi="方正姚体"/>
          <w:sz w:val="32"/>
        </w:rPr>
        <w:t>市商务管理部门应当会同市中医药主管部门培育中医药涉外服务企业，建设中医药贸易平台，推介本市特色中医药产品和服务。</w:t>
      </w:r>
    </w:p>
    <w:p>
      <w:pPr>
        <w:pStyle w:val="P1"/>
        <w:spacing w:lineRule="exact" w:line="594"/>
        <w:ind w:firstLine="640"/>
        <w:rPr>
          <w:rStyle w:val="C3"/>
          <w:rFonts w:ascii="Times New Roman" w:hAnsi="Times New Roman"/>
          <w:sz w:val="32"/>
        </w:rPr>
      </w:pPr>
      <w:r>
        <w:rPr>
          <w:rStyle w:val="C3"/>
          <w:rFonts w:ascii="方正姚体" w:hAnsi="方正姚体"/>
          <w:sz w:val="32"/>
        </w:rPr>
        <w:t>开展中医药对外交流与合作，应当按照有关法律法规的规定，保护中医药资源和技术秘密，防止珍贵、稀有、濒危的中医药资源流失。</w:t>
      </w:r>
    </w:p>
    <w:p>
      <w:pPr>
        <w:pStyle w:val="P1"/>
        <w:spacing w:lineRule="exact" w:line="594"/>
        <w:ind w:firstLine="640"/>
        <w:rPr>
          <w:rStyle w:val="C3"/>
          <w:rFonts w:ascii="Times New Roman" w:hAnsi="Times New Roman"/>
          <w:sz w:val="32"/>
        </w:rPr>
      </w:pPr>
    </w:p>
    <w:p>
      <w:pPr>
        <w:pStyle w:val="P4"/>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中医药支持与保障</w:t>
      </w:r>
    </w:p>
    <w:p>
      <w:pPr>
        <w:pStyle w:val="P1"/>
        <w:spacing w:lineRule="exact" w:line="594"/>
        <w:ind w:firstLine="640"/>
        <w:rPr>
          <w:rStyle w:val="C3"/>
          <w:rFonts w:ascii="Times New Roman" w:hAnsi="Times New Roman"/>
          <w:sz w:val="32"/>
        </w:rPr>
      </w:pPr>
    </w:p>
    <w:p>
      <w:pPr>
        <w:pStyle w:val="P1"/>
        <w:spacing w:lineRule="exact" w:line="594"/>
        <w:ind w:firstLine="640"/>
        <w:rPr>
          <w:rStyle w:val="C3"/>
          <w:rFonts w:ascii="Times New Roman" w:hAnsi="Times New Roman"/>
          <w:sz w:val="32"/>
        </w:rPr>
      </w:pPr>
      <w:r>
        <w:rPr>
          <w:rStyle w:val="C3"/>
          <w:rFonts w:ascii="黑体" w:hAnsi="黑体"/>
          <w:sz w:val="32"/>
        </w:rPr>
        <w:t>第五十一条</w:t>
      </w:r>
      <w:r>
        <w:rPr>
          <w:rStyle w:val="C3"/>
          <w:rFonts w:ascii="Times New Roman" w:hAnsi="Times New Roman"/>
          <w:sz w:val="32"/>
        </w:rPr>
        <w:t xml:space="preserve">  </w:t>
      </w:r>
      <w:r>
        <w:rPr>
          <w:rStyle w:val="C3"/>
          <w:rFonts w:ascii="方正姚体" w:hAnsi="方正姚体"/>
          <w:sz w:val="32"/>
        </w:rPr>
        <w:t>市、区县（自治县）人民政府应当将中医药事业发展经费纳入本级财政预算，建立完善社会多元投入机制，承担公立中医医院的办医主体责任，落实对公立中医医院基本建设、设备购置、重点学科专科发展、人才培养等的政府投入，为中医药事业发展提供政策支持和条件保障。</w:t>
      </w:r>
    </w:p>
    <w:p>
      <w:pPr>
        <w:pStyle w:val="P1"/>
        <w:spacing w:lineRule="exact" w:line="594"/>
        <w:ind w:firstLine="640"/>
        <w:rPr>
          <w:rStyle w:val="C3"/>
          <w:rFonts w:ascii="Times New Roman" w:hAnsi="Times New Roman"/>
          <w:sz w:val="32"/>
        </w:rPr>
      </w:pPr>
      <w:r>
        <w:rPr>
          <w:rStyle w:val="C3"/>
          <w:rFonts w:ascii="方正姚体" w:hAnsi="方正姚体"/>
          <w:sz w:val="32"/>
        </w:rPr>
        <w:t>市、区县（自治县）人民政府及其有关部门制定基本医疗保险支付政策、药物政策等医药卫生政策，应当有中医药主管部门参加，并征求中医药专家和中医医疗机构的意见。</w:t>
      </w:r>
    </w:p>
    <w:p>
      <w:pPr>
        <w:pStyle w:val="P1"/>
        <w:spacing w:lineRule="exact" w:line="594"/>
        <w:ind w:firstLine="640"/>
        <w:rPr>
          <w:rStyle w:val="C3"/>
          <w:rFonts w:ascii="Times New Roman" w:hAnsi="Times New Roman"/>
          <w:sz w:val="32"/>
        </w:rPr>
      </w:pPr>
      <w:r>
        <w:rPr>
          <w:rStyle w:val="C3"/>
          <w:rFonts w:ascii="黑体" w:hAnsi="黑体"/>
          <w:sz w:val="32"/>
        </w:rPr>
        <w:t>第五十二条</w:t>
      </w:r>
      <w:r>
        <w:rPr>
          <w:rStyle w:val="C3"/>
          <w:rFonts w:ascii="Times New Roman" w:hAnsi="Times New Roman"/>
          <w:sz w:val="32"/>
        </w:rPr>
        <w:t xml:space="preserve">  </w:t>
      </w:r>
      <w:r>
        <w:rPr>
          <w:rStyle w:val="C3"/>
          <w:rFonts w:ascii="方正姚体" w:hAnsi="方正姚体"/>
          <w:sz w:val="32"/>
        </w:rPr>
        <w:t>市医疗保障部门应当按照法定价格管理权限，科学合理确定、定期评估和动态调整中医医疗服务的收费项目和标准，体现中医药临床价值和技术劳务价值。</w:t>
      </w:r>
    </w:p>
    <w:p>
      <w:pPr>
        <w:pStyle w:val="P1"/>
        <w:spacing w:lineRule="exact" w:line="594"/>
        <w:ind w:firstLine="640"/>
        <w:rPr>
          <w:rStyle w:val="C3"/>
          <w:rFonts w:ascii="Times New Roman" w:hAnsi="Times New Roman"/>
          <w:sz w:val="32"/>
        </w:rPr>
      </w:pPr>
      <w:r>
        <w:rPr>
          <w:rStyle w:val="C3"/>
          <w:rFonts w:ascii="方正姚体" w:hAnsi="方正姚体"/>
          <w:sz w:val="32"/>
        </w:rPr>
        <w:t>市医疗保障部门确定和调整中医医疗服务收费项目和标准，应当以中医药专家为主组织论证，并充分听取市中医药主管部门和社会公众意见。</w:t>
      </w:r>
    </w:p>
    <w:p>
      <w:pPr>
        <w:pStyle w:val="P1"/>
        <w:spacing w:lineRule="exact" w:line="594"/>
        <w:ind w:firstLine="640"/>
        <w:rPr>
          <w:rStyle w:val="C3"/>
          <w:rFonts w:ascii="Times New Roman" w:hAnsi="Times New Roman"/>
          <w:sz w:val="32"/>
        </w:rPr>
      </w:pPr>
      <w:r>
        <w:rPr>
          <w:rStyle w:val="C3"/>
          <w:rFonts w:ascii="方正姚体" w:hAnsi="方正姚体"/>
          <w:sz w:val="32"/>
        </w:rPr>
        <w:t>医疗机构可以对本单位炮制使用的中药饮片、中药制剂、中药制品实行自主定价。</w:t>
      </w:r>
    </w:p>
    <w:p>
      <w:pPr>
        <w:pStyle w:val="P1"/>
        <w:spacing w:lineRule="exact" w:line="594"/>
        <w:ind w:firstLine="640"/>
        <w:rPr>
          <w:rStyle w:val="C3"/>
          <w:rFonts w:ascii="Times New Roman" w:hAnsi="Times New Roman"/>
          <w:sz w:val="32"/>
        </w:rPr>
      </w:pPr>
      <w:r>
        <w:rPr>
          <w:rStyle w:val="C3"/>
          <w:rFonts w:ascii="黑体" w:hAnsi="黑体"/>
          <w:sz w:val="32"/>
        </w:rPr>
        <w:t>第五十三条</w:t>
      </w:r>
      <w:r>
        <w:rPr>
          <w:rStyle w:val="C3"/>
          <w:rFonts w:ascii="Times New Roman" w:hAnsi="Times New Roman"/>
          <w:sz w:val="32"/>
        </w:rPr>
        <w:t xml:space="preserve">  </w:t>
      </w:r>
      <w:r>
        <w:rPr>
          <w:rStyle w:val="C3"/>
          <w:rFonts w:ascii="方正姚体" w:hAnsi="方正姚体"/>
          <w:sz w:val="32"/>
        </w:rPr>
        <w:t>市医疗保障部门应当按照国家规定，将符合条件的中医医疗机构纳入基本医疗保险定点医疗机构范围，将符合条件的中医诊疗项目、中药饮片、中成药和中药制剂纳入基本医疗保险基金支付范围。</w:t>
      </w:r>
    </w:p>
    <w:p>
      <w:pPr>
        <w:pStyle w:val="P1"/>
        <w:spacing w:lineRule="exact" w:line="594"/>
        <w:ind w:firstLine="640"/>
        <w:rPr>
          <w:rStyle w:val="C3"/>
          <w:rFonts w:ascii="Times New Roman" w:hAnsi="Times New Roman"/>
          <w:sz w:val="32"/>
        </w:rPr>
      </w:pPr>
      <w:r>
        <w:rPr>
          <w:rStyle w:val="C3"/>
          <w:rFonts w:ascii="方正姚体" w:hAnsi="方正姚体"/>
          <w:sz w:val="32"/>
        </w:rPr>
        <w:t>支持将具有中医疗效和成本优势的中医医疗服务项目纳入基本医疗保险支付范围。按照国家医保付费相关规定对中医优势病种，实行中西医同病同效同价。</w:t>
      </w:r>
    </w:p>
    <w:p>
      <w:pPr>
        <w:pStyle w:val="P1"/>
        <w:spacing w:lineRule="exact" w:line="594"/>
        <w:ind w:firstLine="640"/>
        <w:rPr>
          <w:rStyle w:val="C3"/>
          <w:rFonts w:ascii="Times New Roman" w:hAnsi="Times New Roman"/>
          <w:sz w:val="32"/>
        </w:rPr>
      </w:pPr>
      <w:r>
        <w:rPr>
          <w:rStyle w:val="C3"/>
          <w:rFonts w:ascii="黑体" w:hAnsi="黑体"/>
          <w:sz w:val="32"/>
        </w:rPr>
        <w:t>第五十四条</w:t>
      </w:r>
      <w:r>
        <w:rPr>
          <w:rStyle w:val="C3"/>
          <w:rFonts w:ascii="Times New Roman" w:hAnsi="Times New Roman"/>
          <w:sz w:val="32"/>
        </w:rPr>
        <w:t xml:space="preserve">  </w:t>
      </w:r>
      <w:r>
        <w:rPr>
          <w:rStyle w:val="C3"/>
          <w:rFonts w:ascii="方正姚体" w:hAnsi="方正姚体"/>
          <w:sz w:val="32"/>
        </w:rPr>
        <w:t>开展下列与中医药有关的评审、评估、鉴定活动，应当成立中医药评审、评估、鉴定的专门组织，或者以中医药专家为主实行同行评议：</w:t>
      </w:r>
    </w:p>
    <w:p>
      <w:pPr>
        <w:pStyle w:val="P1"/>
        <w:spacing w:lineRule="exact" w:line="594"/>
        <w:ind w:firstLine="640"/>
        <w:rPr>
          <w:rStyle w:val="C3"/>
          <w:rFonts w:ascii="Times New Roman" w:hAnsi="Times New Roman"/>
          <w:sz w:val="32"/>
        </w:rPr>
      </w:pPr>
      <w:r>
        <w:rPr>
          <w:rStyle w:val="C3"/>
          <w:rFonts w:ascii="方正姚体" w:hAnsi="方正姚体"/>
          <w:sz w:val="32"/>
        </w:rPr>
        <w:t>（一）中医药科研项目评审、成果评价；</w:t>
      </w:r>
    </w:p>
    <w:p>
      <w:pPr>
        <w:pStyle w:val="P1"/>
        <w:spacing w:lineRule="exact" w:line="594"/>
        <w:ind w:firstLine="640"/>
        <w:rPr>
          <w:rStyle w:val="C3"/>
          <w:rFonts w:ascii="Times New Roman" w:hAnsi="Times New Roman"/>
          <w:sz w:val="32"/>
        </w:rPr>
      </w:pPr>
      <w:r>
        <w:rPr>
          <w:rStyle w:val="C3"/>
          <w:rFonts w:ascii="方正姚体" w:hAnsi="方正姚体"/>
          <w:sz w:val="32"/>
        </w:rPr>
        <w:t>（二）中医药团体或者个人表彰、奖励的评审；</w:t>
      </w:r>
    </w:p>
    <w:p>
      <w:pPr>
        <w:pStyle w:val="P1"/>
        <w:spacing w:lineRule="exact" w:line="594"/>
        <w:ind w:firstLine="640"/>
        <w:rPr>
          <w:rStyle w:val="C3"/>
          <w:rFonts w:ascii="Times New Roman" w:hAnsi="Times New Roman"/>
          <w:sz w:val="32"/>
        </w:rPr>
      </w:pPr>
      <w:r>
        <w:rPr>
          <w:rStyle w:val="C3"/>
          <w:rFonts w:ascii="方正姚体" w:hAnsi="方正姚体"/>
          <w:sz w:val="32"/>
        </w:rPr>
        <w:t>（三）中医药专业技术职务任职资格的评审；</w:t>
      </w:r>
    </w:p>
    <w:p>
      <w:pPr>
        <w:pStyle w:val="P1"/>
        <w:spacing w:lineRule="exact" w:line="594"/>
        <w:ind w:firstLine="640"/>
        <w:rPr>
          <w:rStyle w:val="C3"/>
          <w:rFonts w:ascii="Times New Roman" w:hAnsi="Times New Roman"/>
          <w:sz w:val="32"/>
        </w:rPr>
      </w:pPr>
      <w:r>
        <w:rPr>
          <w:rStyle w:val="C3"/>
          <w:rFonts w:ascii="方正姚体" w:hAnsi="方正姚体"/>
          <w:sz w:val="32"/>
        </w:rPr>
        <w:t>（四）中医药医疗、教学、科研机构的评审；</w:t>
      </w:r>
    </w:p>
    <w:p>
      <w:pPr>
        <w:pStyle w:val="P1"/>
        <w:spacing w:lineRule="exact" w:line="594"/>
        <w:ind w:firstLine="640"/>
        <w:rPr>
          <w:rStyle w:val="C3"/>
          <w:rFonts w:ascii="Times New Roman" w:hAnsi="Times New Roman"/>
          <w:sz w:val="32"/>
        </w:rPr>
      </w:pPr>
      <w:r>
        <w:rPr>
          <w:rStyle w:val="C3"/>
          <w:rFonts w:ascii="方正姚体" w:hAnsi="方正姚体"/>
          <w:sz w:val="32"/>
        </w:rPr>
        <w:t>（五）中医类医疗损害鉴定；</w:t>
      </w:r>
      <w:r>
        <w:rPr>
          <w:rStyle w:val="C3"/>
          <w:rFonts w:ascii="Times New Roman" w:hAnsi="Times New Roman"/>
          <w:sz w:val="32"/>
        </w:rPr>
        <w:t> </w:t>
      </w:r>
    </w:p>
    <w:p>
      <w:pPr>
        <w:pStyle w:val="P1"/>
        <w:spacing w:lineRule="exact" w:line="594"/>
        <w:ind w:firstLine="640"/>
        <w:rPr>
          <w:rStyle w:val="C3"/>
          <w:rFonts w:ascii="Times New Roman" w:hAnsi="Times New Roman"/>
          <w:sz w:val="32"/>
        </w:rPr>
      </w:pPr>
      <w:r>
        <w:rPr>
          <w:rStyle w:val="C3"/>
          <w:rFonts w:ascii="方正姚体" w:hAnsi="方正姚体"/>
          <w:sz w:val="32"/>
        </w:rPr>
        <w:t>（六）其他与中医药相关的评审、评估、鉴定等活动。</w:t>
      </w:r>
    </w:p>
    <w:p>
      <w:pPr>
        <w:pStyle w:val="P1"/>
        <w:spacing w:lineRule="exact" w:line="594"/>
        <w:ind w:firstLine="640"/>
        <w:rPr>
          <w:rStyle w:val="C3"/>
          <w:rFonts w:ascii="Times New Roman" w:hAnsi="Times New Roman"/>
          <w:sz w:val="32"/>
        </w:rPr>
      </w:pPr>
      <w:r>
        <w:rPr>
          <w:rStyle w:val="C3"/>
          <w:rFonts w:ascii="黑体" w:hAnsi="黑体"/>
          <w:sz w:val="32"/>
        </w:rPr>
        <w:t>第五十五条</w:t>
      </w:r>
      <w:r>
        <w:rPr>
          <w:rStyle w:val="C3"/>
          <w:rFonts w:ascii="Times New Roman" w:hAnsi="Times New Roman"/>
          <w:sz w:val="32"/>
        </w:rPr>
        <w:t xml:space="preserve">  </w:t>
      </w:r>
      <w:r>
        <w:rPr>
          <w:rStyle w:val="C3"/>
          <w:rFonts w:ascii="方正姚体" w:hAnsi="方正姚体"/>
          <w:sz w:val="32"/>
        </w:rPr>
        <w:t>市中医药主管部门、市药品监督管理部门应当会同市市场监督管理部门建立中医药标准化工作机制，建立健全本市中药质量标准体系，完善符合中医药特点的技术标准。</w:t>
      </w:r>
    </w:p>
    <w:p>
      <w:pPr>
        <w:pStyle w:val="P1"/>
        <w:spacing w:lineRule="exact" w:line="594"/>
        <w:rPr>
          <w:rStyle w:val="C3"/>
          <w:rFonts w:ascii="Times New Roman" w:hAnsi="Times New Roman"/>
          <w:sz w:val="32"/>
        </w:rPr>
      </w:pPr>
    </w:p>
    <w:p>
      <w:pPr>
        <w:pStyle w:val="P4"/>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spacing w:lineRule="exact" w:line="594"/>
        <w:ind w:firstLine="640"/>
        <w:rPr>
          <w:rStyle w:val="C3"/>
          <w:rFonts w:ascii="Times New Roman" w:hAnsi="Times New Roman"/>
          <w:sz w:val="32"/>
        </w:rPr>
      </w:pPr>
    </w:p>
    <w:p>
      <w:pPr>
        <w:pStyle w:val="P1"/>
        <w:spacing w:lineRule="exact" w:line="594"/>
        <w:ind w:firstLine="640"/>
        <w:rPr>
          <w:rStyle w:val="C3"/>
          <w:rFonts w:ascii="Times New Roman" w:hAnsi="Times New Roman"/>
          <w:sz w:val="32"/>
        </w:rPr>
      </w:pPr>
      <w:r>
        <w:rPr>
          <w:rStyle w:val="C3"/>
          <w:rFonts w:ascii="黑体" w:hAnsi="黑体"/>
          <w:sz w:val="32"/>
        </w:rPr>
        <w:t>第五十六条</w:t>
      </w:r>
      <w:r>
        <w:rPr>
          <w:rStyle w:val="C3"/>
          <w:rFonts w:ascii="Times New Roman" w:hAnsi="Times New Roman"/>
          <w:sz w:val="32"/>
        </w:rPr>
        <w:t xml:space="preserve">  </w:t>
      </w:r>
      <w:r>
        <w:rPr>
          <w:rStyle w:val="C3"/>
          <w:rFonts w:ascii="方正姚体" w:hAnsi="方正姚体"/>
          <w:sz w:val="32"/>
        </w:rPr>
        <w:t>中医诊所有违反本条例第十九条第一款规定行为的，由区县（自治县）中医药主管部门按照《中华人民共和国中医药法》和国家卫生健康主管部门有关中医诊所备案的规定处理。</w:t>
      </w:r>
    </w:p>
    <w:p>
      <w:pPr>
        <w:pStyle w:val="P1"/>
        <w:spacing w:lineRule="exact" w:line="594"/>
        <w:ind w:firstLine="640"/>
        <w:rPr>
          <w:rStyle w:val="C3"/>
          <w:rFonts w:ascii="Times New Roman" w:hAnsi="Times New Roman"/>
          <w:sz w:val="32"/>
        </w:rPr>
      </w:pPr>
      <w:r>
        <w:rPr>
          <w:rStyle w:val="C3"/>
          <w:rFonts w:ascii="黑体" w:hAnsi="黑体"/>
          <w:sz w:val="32"/>
        </w:rPr>
        <w:t>第五十七条</w:t>
      </w:r>
      <w:r>
        <w:rPr>
          <w:rStyle w:val="C3"/>
          <w:rFonts w:ascii="Times New Roman" w:hAnsi="Times New Roman"/>
          <w:sz w:val="32"/>
        </w:rPr>
        <w:t xml:space="preserve">  </w:t>
      </w:r>
      <w:r>
        <w:rPr>
          <w:rStyle w:val="C3"/>
          <w:rFonts w:ascii="方正姚体" w:hAnsi="方正姚体"/>
          <w:sz w:val="32"/>
        </w:rPr>
        <w:t>违反本条例第二十条第二款、第三款规定的，由区县（自治县）中医药主管部门责令限期改正，拒不改正的，处一千元以上三千元以下罚款。</w:t>
      </w:r>
    </w:p>
    <w:p>
      <w:pPr>
        <w:pStyle w:val="P1"/>
        <w:spacing w:lineRule="exact" w:line="594"/>
        <w:ind w:firstLine="640"/>
        <w:rPr>
          <w:rStyle w:val="C3"/>
          <w:rFonts w:ascii="Times New Roman" w:hAnsi="Times New Roman"/>
          <w:sz w:val="32"/>
        </w:rPr>
      </w:pPr>
      <w:r>
        <w:rPr>
          <w:rStyle w:val="C3"/>
          <w:rFonts w:ascii="黑体" w:hAnsi="黑体"/>
          <w:sz w:val="32"/>
        </w:rPr>
        <w:t>第五十八条</w:t>
      </w:r>
      <w:r>
        <w:rPr>
          <w:rStyle w:val="C3"/>
          <w:rFonts w:ascii="Times New Roman" w:hAnsi="Times New Roman"/>
          <w:sz w:val="32"/>
        </w:rPr>
        <w:t xml:space="preserve">  </w:t>
      </w:r>
      <w:r>
        <w:rPr>
          <w:rStyle w:val="C3"/>
          <w:rFonts w:ascii="方正姚体" w:hAnsi="方正姚体"/>
          <w:sz w:val="32"/>
        </w:rPr>
        <w:t>违反本条例第二十五条规定，提供中医养生保健服务的单位或者个人开展诊疗活动的，由中医药主管部门依法查处；在广告中涉及疾病治疗功能，使用医疗用语的，由市场监督管理部门依法查处。</w:t>
      </w:r>
    </w:p>
    <w:p>
      <w:pPr>
        <w:pStyle w:val="P1"/>
        <w:spacing w:lineRule="exact" w:line="594"/>
        <w:ind w:firstLine="640"/>
        <w:rPr>
          <w:rStyle w:val="C3"/>
          <w:rFonts w:ascii="Times New Roman" w:hAnsi="Times New Roman"/>
          <w:sz w:val="32"/>
        </w:rPr>
      </w:pPr>
      <w:r>
        <w:rPr>
          <w:rStyle w:val="C3"/>
          <w:rFonts w:ascii="黑体" w:hAnsi="黑体"/>
          <w:sz w:val="32"/>
        </w:rPr>
        <w:t>第五十九条</w:t>
      </w:r>
      <w:r>
        <w:rPr>
          <w:rStyle w:val="C3"/>
          <w:rFonts w:ascii="Times New Roman" w:hAnsi="Times New Roman"/>
          <w:sz w:val="32"/>
        </w:rPr>
        <w:t xml:space="preserve">  </w:t>
      </w:r>
      <w:r>
        <w:rPr>
          <w:rStyle w:val="C3"/>
          <w:rFonts w:ascii="方正姚体" w:hAnsi="方正姚体"/>
          <w:sz w:val="32"/>
        </w:rPr>
        <w:t>违反本条例第二十七条规定，在中药材种植养殖过程中使用剧毒、高毒农药的，由农业农村部门依法查处。</w:t>
      </w:r>
    </w:p>
    <w:p>
      <w:pPr>
        <w:pStyle w:val="P1"/>
        <w:spacing w:lineRule="exact" w:line="594"/>
        <w:ind w:firstLine="640"/>
        <w:rPr>
          <w:rStyle w:val="C3"/>
          <w:rFonts w:ascii="Times New Roman" w:hAnsi="Times New Roman"/>
          <w:sz w:val="32"/>
        </w:rPr>
      </w:pPr>
      <w:r>
        <w:rPr>
          <w:rStyle w:val="C3"/>
          <w:rFonts w:ascii="黑体" w:hAnsi="黑体"/>
          <w:sz w:val="32"/>
        </w:rPr>
        <w:t>第六十条</w:t>
      </w:r>
      <w:r>
        <w:rPr>
          <w:rStyle w:val="C3"/>
          <w:rFonts w:ascii="Times New Roman" w:hAnsi="Times New Roman"/>
          <w:sz w:val="32"/>
        </w:rPr>
        <w:t xml:space="preserve">  </w:t>
      </w:r>
      <w:r>
        <w:rPr>
          <w:rStyle w:val="C3"/>
          <w:rFonts w:ascii="方正姚体" w:hAnsi="方正姚体"/>
          <w:sz w:val="32"/>
        </w:rPr>
        <w:t>违反本条例规定，各级人民政府、中医药主管部门和其他有关部门工作人员在中医药工作中滥用职权、玩忽职守、徇私舞弊的，依法给予处分；构成犯罪的，依法追究刑事责任。</w:t>
      </w:r>
    </w:p>
    <w:p>
      <w:pPr>
        <w:pStyle w:val="P1"/>
        <w:spacing w:lineRule="exact" w:line="594"/>
        <w:ind w:firstLine="640"/>
        <w:rPr>
          <w:rStyle w:val="C3"/>
          <w:rFonts w:ascii="Times New Roman" w:hAnsi="Times New Roman"/>
          <w:sz w:val="32"/>
        </w:rPr>
      </w:pPr>
      <w:r>
        <w:rPr>
          <w:rStyle w:val="C3"/>
          <w:rFonts w:ascii="黑体" w:hAnsi="黑体"/>
          <w:sz w:val="32"/>
        </w:rPr>
        <w:t>第六十一条</w:t>
      </w:r>
      <w:r>
        <w:rPr>
          <w:rStyle w:val="C3"/>
          <w:rFonts w:ascii="Times New Roman" w:hAnsi="Times New Roman"/>
          <w:sz w:val="32"/>
        </w:rPr>
        <w:t xml:space="preserve">  </w:t>
      </w:r>
      <w:r>
        <w:rPr>
          <w:rStyle w:val="C3"/>
          <w:rFonts w:ascii="方正姚体" w:hAnsi="方正姚体"/>
          <w:sz w:val="32"/>
        </w:rPr>
        <w:t>违反本条例规定的其他行为，法律、法规已有法律责任规定的，从其规定。</w:t>
      </w:r>
    </w:p>
    <w:p>
      <w:pPr>
        <w:pStyle w:val="P1"/>
        <w:spacing w:lineRule="exact" w:line="594"/>
        <w:rPr>
          <w:rStyle w:val="C3"/>
          <w:rFonts w:ascii="Times New Roman" w:hAnsi="Times New Roman"/>
          <w:sz w:val="32"/>
        </w:rPr>
      </w:pPr>
    </w:p>
    <w:p>
      <w:pPr>
        <w:pStyle w:val="P4"/>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w:t>
      </w:r>
      <w:r>
        <w:rPr>
          <w:rStyle w:val="C3"/>
          <w:rFonts w:ascii="Times New Roman" w:hAnsi="Times New Roman"/>
        </w:rPr>
        <w:t xml:space="preserve">    </w:t>
      </w:r>
      <w:r>
        <w:rPr>
          <w:rStyle w:val="C3"/>
          <w:rFonts w:ascii="方正姚体" w:hAnsi="方正姚体"/>
        </w:rPr>
        <w:t>则</w:t>
      </w:r>
    </w:p>
    <w:p>
      <w:pPr>
        <w:pStyle w:val="P1"/>
        <w:spacing w:lineRule="exact" w:line="594"/>
        <w:rPr>
          <w:rStyle w:val="C3"/>
          <w:rFonts w:ascii="Times New Roman" w:hAnsi="Times New Roman"/>
          <w:sz w:val="32"/>
        </w:rPr>
      </w:pPr>
    </w:p>
    <w:p>
      <w:pPr>
        <w:pStyle w:val="P1"/>
        <w:spacing w:lineRule="exact" w:line="594"/>
        <w:ind w:firstLine="640"/>
        <w:rPr>
          <w:rStyle w:val="C3"/>
          <w:rFonts w:ascii="Times New Roman" w:hAnsi="Times New Roman"/>
          <w:sz w:val="32"/>
        </w:rPr>
      </w:pPr>
      <w:r>
        <w:rPr>
          <w:rStyle w:val="C3"/>
          <w:rFonts w:ascii="黑体" w:hAnsi="黑体"/>
          <w:sz w:val="32"/>
        </w:rPr>
        <w:t>第六十二条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Times New Roman" w:hAnsi="Times New Roman"/>
          <w:sz w:val="32"/>
        </w:rPr>
        <w:t>1998</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日重庆市第一届人民代表大会常务委员会第八次会议通过的《重庆市中医条例》同时废止。</w:t>
      </w:r>
    </w:p>
    <w:p>
      <w:pPr>
        <w:pStyle w:val="P1"/>
        <w:rPr>
          <w:rStyle w:val="C3"/>
          <w:rFonts w:ascii="Times New Roman" w:hAnsi="Times New Roman"/>
          <w:sz w:val="32"/>
        </w:rPr>
      </w:pPr>
    </w:p>
    <w:sectPr>
      <w:footerReference xmlns:r="http://schemas.openxmlformats.org/officeDocument/2006/relationships" w:type="default" r:id="RelFtr1"/>
      <w:type w:val="nextPage"/>
      <w:pgSz w:w="11906" w:h="16838" w:code="0"/>
      <w:pgMar w:left="1446" w:right="1446" w:top="1984" w:bottom="164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Default"/>
    <w:next w:val="P2"/>
    <w:qFormat/>
    <w:pPr>
      <w:widowControl w:val="0"/>
      <w:jc w:val="left"/>
    </w:pPr>
    <w:rPr>
      <w:rFonts w:ascii="宋体" w:hAnsi="宋体"/>
      <w:color w:val="000000"/>
      <w:sz w:val="24"/>
    </w:rPr>
  </w:style>
  <w:style w:type="paragraph" w:styleId="P3">
    <w:name w:val="普通(网站)"/>
    <w:next w:val="P3"/>
    <w:qFormat/>
    <w:pPr>
      <w:widowControl w:val="1"/>
      <w:spacing w:before="100" w:after="100" w:beforeAutospacing="1" w:afterAutospacing="1"/>
      <w:jc w:val="left"/>
    </w:pPr>
    <w:rPr>
      <w:rFonts w:ascii="宋体" w:hAnsi="宋体"/>
      <w:sz w:val="24"/>
    </w:rPr>
  </w:style>
  <w:style w:type="paragraph" w:styleId="P4">
    <w:name w:val="正文缩进"/>
    <w:basedOn w:val="P1"/>
    <w:next w:val="P4"/>
    <w:qFormat/>
    <w:pPr>
      <w:spacing w:lineRule="exact" w:line="580"/>
      <w:ind w:firstLine="42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guest</dc:creator>
  <dcterms:created xsi:type="dcterms:W3CDTF">2021-12-22T15:02:00Z</dcterms:created>
  <cp:lastModifiedBy>f1TZOF\f1TZOF-</cp:lastModifiedBy>
  <dcterms:modified xsi:type="dcterms:W3CDTF">2024-08-28T01:35:06Z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04B1C748466F4DE582E0D11DD410EB14</vt:lpwstr>
  </property>
</Properties>
</file>