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F224DF" Type="http://schemas.openxmlformats.org/officeDocument/2006/relationships/officeDocument" Target="/word/document.xml" /><Relationship Id="coreR35F224D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32"/>
      </w:pPr>
    </w:p>
    <w:p>
      <w:pPr>
        <w:pStyle w:val="P1"/>
        <w:spacing w:lineRule="exact" w:line="740"/>
        <w:jc w:val="center"/>
        <w:rPr>
          <w:rStyle w:val="C3"/>
          <w:rFonts w:ascii="方正小标宋简体" w:hAnsi="方正小标宋简体"/>
          <w:sz w:val="44"/>
        </w:rPr>
      </w:pPr>
      <w:r>
        <w:rPr>
          <w:rStyle w:val="C3"/>
          <w:rFonts w:ascii="Microsoft YaHei UI" w:hAnsi="Microsoft YaHei UI"/>
          <w:sz w:val="44"/>
        </w:rPr>
        <w:t>安徽省人民代表大会常务委员会</w:t>
      </w:r>
    </w:p>
    <w:p>
      <w:pPr>
        <w:pStyle w:val="P1"/>
        <w:spacing w:lineRule="exact" w:line="740"/>
        <w:jc w:val="center"/>
        <w:rPr>
          <w:rStyle w:val="C3"/>
          <w:rFonts w:ascii="方正小标宋简体" w:hAnsi="方正小标宋简体"/>
          <w:sz w:val="44"/>
        </w:rPr>
      </w:pPr>
      <w:r>
        <w:rPr>
          <w:rStyle w:val="C3"/>
          <w:rFonts w:ascii="Microsoft YaHei UI" w:hAnsi="Microsoft YaHei UI"/>
          <w:sz w:val="44"/>
        </w:rPr>
        <w:t>公</w:t>
      </w:r>
      <w:r>
        <w:rPr>
          <w:rStyle w:val="C3"/>
          <w:rFonts w:ascii="方正小标宋简体" w:hAnsi="方正小标宋简体"/>
          <w:sz w:val="44"/>
        </w:rPr>
        <w:t xml:space="preserve">       </w:t>
      </w:r>
      <w:r>
        <w:rPr>
          <w:rStyle w:val="C3"/>
          <w:rFonts w:ascii="Microsoft YaHei UI" w:hAnsi="Microsoft YaHei UI"/>
          <w:sz w:val="44"/>
        </w:rPr>
        <w:t>告</w:t>
      </w:r>
    </w:p>
    <w:p>
      <w:pPr>
        <w:pStyle w:val="P1"/>
        <w:jc w:val="center"/>
        <w:rPr>
          <w:rStyle w:val="C3"/>
        </w:rPr>
      </w:pPr>
    </w:p>
    <w:p>
      <w:pPr>
        <w:pStyle w:val="P1"/>
        <w:jc w:val="center"/>
        <w:rPr>
          <w:rStyle w:val="C3"/>
          <w:rFonts w:ascii="楷体_GB2312" w:hAnsi="楷体_GB2312"/>
        </w:rPr>
      </w:pPr>
      <w:r>
        <w:rPr>
          <w:rStyle w:val="C3"/>
          <w:rFonts w:ascii="Microsoft YaHei UI" w:hAnsi="Microsoft YaHei UI"/>
        </w:rPr>
        <w:t>（第十六号）</w:t>
      </w:r>
    </w:p>
    <w:p>
      <w:pPr>
        <w:pStyle w:val="P1"/>
        <w:rPr>
          <w:rStyle w:val="C3"/>
          <w:rFonts w:ascii="仿宋_GB2312" w:hAnsi="仿宋_GB2312"/>
        </w:rPr>
      </w:pPr>
    </w:p>
    <w:p>
      <w:pPr>
        <w:pStyle w:val="P1"/>
        <w:ind w:firstLine="632"/>
      </w:pPr>
      <w:r>
        <w:rPr>
          <w:rStyle w:val="C3"/>
          <w:rFonts w:ascii="Microsoft YaHei UI" w:hAnsi="Microsoft YaHei UI"/>
        </w:rPr>
        <w:t>《</w:t>
      </w:r>
      <w:r>
        <w:rPr>
          <w:rFonts w:ascii="方正姚体" w:hAnsi="方正姚体"/>
        </w:rPr>
        <w:t>安徽省人民代表大会常务委员会关于安徽省耕地占用税适用税额的决定</w:t>
      </w:r>
      <w:r>
        <w:rPr>
          <w:rStyle w:val="C3"/>
          <w:rFonts w:ascii="Microsoft YaHei UI" w:hAnsi="Microsoft YaHei UI"/>
        </w:rPr>
        <w:t>》</w:t>
      </w:r>
      <w:r>
        <w:rPr>
          <w:rFonts w:ascii="方正姚体" w:hAnsi="方正姚体"/>
        </w:rPr>
        <w:t>已经</w:t>
      </w:r>
      <w:r>
        <w:t>2019</w:t>
      </w:r>
      <w:r>
        <w:rPr>
          <w:rFonts w:ascii="方正姚体" w:hAnsi="方正姚体"/>
        </w:rPr>
        <w:t>年</w:t>
      </w:r>
      <w:r>
        <w:t>7</w:t>
      </w:r>
      <w:r>
        <w:rPr>
          <w:rFonts w:ascii="方正姚体" w:hAnsi="方正姚体"/>
        </w:rPr>
        <w:t>月</w:t>
      </w:r>
      <w:r>
        <w:t>26</w:t>
      </w:r>
      <w:r>
        <w:rPr>
          <w:rFonts w:ascii="方正姚体" w:hAnsi="方正姚体"/>
        </w:rPr>
        <w:t>日安徽省第十三届人民代表大会常务委员会第十一次会议通过，现予公布，自</w:t>
      </w:r>
      <w:r>
        <w:t>2019</w:t>
      </w:r>
      <w:r>
        <w:rPr>
          <w:rFonts w:ascii="方正姚体" w:hAnsi="方正姚体"/>
        </w:rPr>
        <w:t>年</w:t>
      </w:r>
      <w:r>
        <w:t>9</w:t>
      </w:r>
      <w:bookmarkStart w:id="0" w:name="_GoBack"/>
      <w:bookmarkEnd w:id="0"/>
      <w:r>
        <w:rPr>
          <w:rFonts w:ascii="方正姚体" w:hAnsi="方正姚体"/>
        </w:rPr>
        <w:t>月</w:t>
      </w:r>
      <w:r>
        <w:t>1</w:t>
      </w:r>
      <w:r>
        <w:rPr>
          <w:rFonts w:ascii="方正姚体" w:hAnsi="方正姚体"/>
        </w:rPr>
        <w:t>日起施行。</w:t>
      </w:r>
    </w:p>
    <w:p>
      <w:pPr>
        <w:pStyle w:val="P1"/>
      </w:pPr>
    </w:p>
    <w:p>
      <w:pPr>
        <w:pStyle w:val="P1"/>
      </w:pPr>
    </w:p>
    <w:p>
      <w:pPr>
        <w:pStyle w:val="P1"/>
        <w:ind w:right="148"/>
        <w:jc w:val="right"/>
      </w:pPr>
      <w:r>
        <w:rPr>
          <w:rFonts w:ascii="方正姚体" w:hAnsi="方正姚体"/>
        </w:rPr>
        <w:t>安徽省人民代表大会常务委员会</w:t>
      </w:r>
    </w:p>
    <w:p>
      <w:pPr>
        <w:pStyle w:val="P1"/>
        <w:ind w:right="1213"/>
        <w:jc w:val="right"/>
        <w:rPr>
          <w:rStyle w:val="C3"/>
          <w:rFonts w:ascii="仿宋_GB2312" w:hAnsi="仿宋_GB2312"/>
        </w:rPr>
      </w:pPr>
      <w:r>
        <w:t xml:space="preserve">                            2019</w:t>
      </w:r>
      <w:r>
        <w:rPr>
          <w:rFonts w:ascii="方正姚体" w:hAnsi="方正姚体"/>
        </w:rPr>
        <w:t>年</w:t>
      </w:r>
      <w:r>
        <w:t>7</w:t>
      </w:r>
      <w:r>
        <w:rPr>
          <w:rFonts w:ascii="方正姚体" w:hAnsi="方正姚体"/>
        </w:rPr>
        <w:t>月</w:t>
      </w:r>
      <w:r>
        <w:t>29</w:t>
      </w:r>
      <w:r>
        <w:rPr>
          <w:rFonts w:ascii="方正姚体" w:hAnsi="方正姚体"/>
        </w:rPr>
        <w:t>日</w:t>
      </w:r>
    </w:p>
    <w:p>
      <w:pPr>
        <w:pStyle w:val="P16"/>
        <w:spacing w:lineRule="auto" w:line="240"/>
        <w:ind w:firstLine="0"/>
        <w:rPr>
          <w:rStyle w:val="C3"/>
          <w:rFonts w:ascii="Times New Roman" w:hAnsi="Times New Roman"/>
          <w:sz w:val="32"/>
        </w:rPr>
      </w:pPr>
      <w:r>
        <w:br w:type="page"/>
      </w:r>
    </w:p>
    <w:p>
      <w:pPr>
        <w:pStyle w:val="P1"/>
        <w:spacing w:lineRule="exact" w:line="680"/>
        <w:jc w:val="center"/>
        <w:rPr>
          <w:rStyle w:val="C3"/>
          <w:sz w:val="44"/>
        </w:rPr>
      </w:pPr>
      <w:r>
        <w:rPr>
          <w:rStyle w:val="C3"/>
          <w:rFonts w:ascii="Microsoft JhengHei UI" w:hAnsi="Microsoft JhengHei UI"/>
          <w:sz w:val="44"/>
        </w:rPr>
        <w:t>安徽省人民代表大会常务委员会关于安徽省</w:t>
      </w:r>
    </w:p>
    <w:p>
      <w:pPr>
        <w:pStyle w:val="P1"/>
        <w:spacing w:lineRule="exact" w:line="680"/>
        <w:jc w:val="center"/>
        <w:rPr>
          <w:rStyle w:val="C3"/>
          <w:sz w:val="44"/>
        </w:rPr>
      </w:pPr>
      <w:r>
        <w:rPr>
          <w:rStyle w:val="C3"/>
          <w:rFonts w:ascii="Microsoft JhengHei UI" w:hAnsi="Microsoft JhengHei UI"/>
          <w:sz w:val="44"/>
        </w:rPr>
        <w:t>耕地占用税适用税额的决定</w:t>
      </w:r>
    </w:p>
    <w:p>
      <w:pPr>
        <w:pStyle w:val="P1"/>
      </w:pPr>
      <w:r>
        <w:t xml:space="preserve">  </w:t>
      </w:r>
    </w:p>
    <w:p>
      <w:pPr>
        <w:pStyle w:val="P1"/>
        <w:jc w:val="center"/>
      </w:pPr>
      <w:r>
        <w:rPr>
          <w:rFonts w:ascii="方正姚体" w:hAnsi="方正姚体"/>
        </w:rPr>
        <w:t>（</w:t>
      </w:r>
      <w:r>
        <w:t>2019</w:t>
      </w:r>
      <w:r>
        <w:rPr>
          <w:rFonts w:ascii="方正姚体" w:hAnsi="方正姚体"/>
        </w:rPr>
        <w:t>年</w:t>
      </w:r>
      <w:r>
        <w:t>7</w:t>
      </w:r>
      <w:r>
        <w:rPr>
          <w:rFonts w:ascii="方正姚体" w:hAnsi="方正姚体"/>
        </w:rPr>
        <w:t>月</w:t>
      </w:r>
      <w:r>
        <w:t>26</w:t>
      </w:r>
      <w:r>
        <w:rPr>
          <w:rFonts w:ascii="方正姚体" w:hAnsi="方正姚体"/>
        </w:rPr>
        <w:t>日安徽省第十三届人民代表大会</w:t>
      </w:r>
    </w:p>
    <w:p>
      <w:pPr>
        <w:pStyle w:val="P1"/>
        <w:jc w:val="center"/>
      </w:pPr>
      <w:r>
        <w:rPr>
          <w:rFonts w:ascii="方正姚体" w:hAnsi="方正姚体"/>
        </w:rPr>
        <w:t>常务委员会第十一次会议通过）</w:t>
      </w:r>
    </w:p>
    <w:p>
      <w:pPr>
        <w:pStyle w:val="P1"/>
        <w:ind w:firstLine="632"/>
      </w:pPr>
    </w:p>
    <w:p>
      <w:pPr>
        <w:pStyle w:val="P1"/>
        <w:ind w:firstLine="632"/>
      </w:pPr>
      <w:r>
        <w:rPr>
          <w:rFonts w:ascii="方正姚体" w:hAnsi="方正姚体"/>
        </w:rPr>
        <w:t>为了合理利用土地资源，加强土地管理，保护耕地，根据《中华人民共和国耕地占用税法》，结合我省经济社会发展和耕地保护现状，对本省耕地占用税适用税额作出如下决定：</w:t>
      </w:r>
    </w:p>
    <w:p>
      <w:pPr>
        <w:pStyle w:val="P1"/>
        <w:ind w:firstLine="616"/>
      </w:pPr>
      <w:r>
        <w:rPr>
          <w:rFonts w:ascii="方正姚体" w:hAnsi="方正姚体"/>
        </w:rPr>
        <w:t>一、按照人均耕地面积将各县、不设区的市、市辖区划分为三类地区。其中，一类地区税额标准为</w:t>
      </w:r>
      <w:r>
        <w:t>37.5</w:t>
      </w:r>
      <w:r>
        <w:rPr>
          <w:rFonts w:ascii="方正姚体" w:hAnsi="方正姚体"/>
        </w:rPr>
        <w:t>元</w:t>
      </w:r>
      <w:r>
        <w:t>/</w:t>
      </w:r>
      <w:r>
        <w:rPr>
          <w:rFonts w:ascii="方正姚体" w:hAnsi="方正姚体"/>
        </w:rPr>
        <w:t>平方米，二类地区税额标准为</w:t>
      </w:r>
      <w:r>
        <w:t>26.25</w:t>
      </w:r>
      <w:r>
        <w:rPr>
          <w:rFonts w:ascii="方正姚体" w:hAnsi="方正姚体"/>
        </w:rPr>
        <w:t>元</w:t>
      </w:r>
      <w:r>
        <w:t>/</w:t>
      </w:r>
      <w:r>
        <w:rPr>
          <w:rFonts w:ascii="方正姚体" w:hAnsi="方正姚体"/>
        </w:rPr>
        <w:t>平方米，三类地区税额标准为</w:t>
      </w:r>
      <w:r>
        <w:t>18.75</w:t>
      </w:r>
      <w:r>
        <w:rPr>
          <w:rFonts w:ascii="方正姚体" w:hAnsi="方正姚体"/>
        </w:rPr>
        <w:t>元</w:t>
      </w:r>
      <w:r>
        <w:t>/</w:t>
      </w:r>
      <w:r>
        <w:rPr>
          <w:rFonts w:ascii="方正姚体" w:hAnsi="方正姚体"/>
        </w:rPr>
        <w:t>平方米。</w:t>
      </w:r>
    </w:p>
    <w:p>
      <w:pPr>
        <w:pStyle w:val="P1"/>
        <w:ind w:firstLine="632"/>
      </w:pPr>
      <w:r>
        <w:rPr>
          <w:rFonts w:ascii="方正姚体" w:hAnsi="方正姚体"/>
        </w:rPr>
        <w:t>二、对人均耕地低于</w:t>
      </w:r>
      <w:r>
        <w:t>0.5</w:t>
      </w:r>
      <w:r>
        <w:rPr>
          <w:rFonts w:ascii="方正姚体" w:hAnsi="方正姚体"/>
        </w:rPr>
        <w:t>亩的地区暂不加成征收耕地占用税。</w:t>
      </w:r>
    </w:p>
    <w:p>
      <w:pPr>
        <w:pStyle w:val="P1"/>
        <w:ind w:firstLine="632"/>
      </w:pPr>
      <w:r>
        <w:rPr>
          <w:rFonts w:ascii="方正姚体" w:hAnsi="方正姚体"/>
        </w:rPr>
        <w:t>三、对占用园地、林地、草地、农田水利用地、养殖水面、渔业水域滩涂以及其他农用地的，按照当地适用税额标准降低</w:t>
      </w:r>
      <w:r>
        <w:t>20%</w:t>
      </w:r>
      <w:r>
        <w:rPr>
          <w:rFonts w:ascii="方正姚体" w:hAnsi="方正姚体"/>
        </w:rPr>
        <w:t>征收耕地占用税。</w:t>
      </w:r>
    </w:p>
    <w:p>
      <w:pPr>
        <w:pStyle w:val="P1"/>
        <w:ind w:firstLine="632"/>
      </w:pPr>
      <w:r>
        <w:rPr>
          <w:rFonts w:ascii="方正姚体" w:hAnsi="方正姚体"/>
        </w:rPr>
        <w:t>本决定自</w:t>
      </w:r>
      <w:r>
        <w:t>2019</w:t>
      </w:r>
      <w:r>
        <w:rPr>
          <w:rFonts w:ascii="方正姚体" w:hAnsi="方正姚体"/>
        </w:rPr>
        <w:t>年</w:t>
      </w:r>
      <w:r>
        <w:t>9</w:t>
      </w:r>
      <w:r>
        <w:rPr>
          <w:rFonts w:ascii="方正姚体" w:hAnsi="方正姚体"/>
        </w:rPr>
        <w:t>月</w:t>
      </w:r>
      <w:r>
        <w:t>1</w:t>
      </w:r>
      <w:r>
        <w:rPr>
          <w:rFonts w:ascii="方正姚体" w:hAnsi="方正姚体"/>
        </w:rPr>
        <w:t>日起施行。</w:t>
      </w:r>
    </w:p>
    <w:p>
      <w:pPr>
        <w:pStyle w:val="P1"/>
      </w:pPr>
    </w:p>
    <w:p>
      <w:pPr>
        <w:pStyle w:val="P1"/>
      </w:pPr>
      <w:r>
        <w:t xml:space="preserve">    </w:t>
      </w:r>
      <w:r>
        <w:rPr>
          <w:rFonts w:ascii="方正姚体" w:hAnsi="方正姚体"/>
        </w:rPr>
        <w:t>附件：安徽省耕地占用税适用税额表</w:t>
      </w:r>
    </w:p>
    <w:p>
      <w:pPr>
        <w:pStyle w:val="P1"/>
        <w:rPr>
          <w:rStyle w:val="C3"/>
          <w:rFonts w:ascii="黑体" w:hAnsi="黑体"/>
        </w:rPr>
      </w:pPr>
      <w:r>
        <w:rPr>
          <w:rStyle w:val="C3"/>
          <w:rFonts w:ascii="黑体" w:hAnsi="黑体"/>
        </w:rPr>
        <w:br w:type="page"/>
        <w:t>附件</w:t>
      </w:r>
    </w:p>
    <w:p>
      <w:pPr>
        <w:pStyle w:val="P1"/>
        <w:spacing w:lineRule="exact" w:line="600" w:before="590" w:after="295"/>
        <w:jc w:val="center"/>
        <w:rPr>
          <w:rStyle w:val="C3"/>
          <w:sz w:val="44"/>
        </w:rPr>
      </w:pPr>
      <w:r>
        <w:rPr>
          <w:rStyle w:val="C3"/>
          <w:rFonts w:ascii="Microsoft JhengHei UI" w:hAnsi="Microsoft JhengHei UI"/>
          <w:sz w:val="44"/>
        </w:rPr>
        <w:t>安徽省耕地占用税适用税额表</w:t>
      </w:r>
    </w:p>
    <w:tbl>
      <w:tblPr>
        <w:tblStyle w:val="T2"/>
        <w:tblW w:w="5000" w:type="pct"/>
        <w:jc w:val="cente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Height w:hRule="atLeast" w:val="567"/>
        </w:trPr>
        <w:tc>
          <w:tcPr>
            <w:tcW w:w="412"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黑体" w:hAnsi="黑体"/>
                <w:sz w:val="24"/>
              </w:rPr>
            </w:pPr>
            <w:r>
              <w:rPr>
                <w:rStyle w:val="C3"/>
                <w:rFonts w:ascii="黑体" w:hAnsi="黑体"/>
                <w:sz w:val="24"/>
              </w:rPr>
              <w:t>地区</w:t>
              <w:br w:type="textWrapping"/>
              <w:t>类别</w:t>
            </w:r>
          </w:p>
        </w:tc>
        <w:tc>
          <w:tcPr>
            <w:tcW w:w="370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黑体" w:hAnsi="黑体"/>
                <w:sz w:val="24"/>
              </w:rPr>
            </w:pPr>
            <w:r>
              <w:rPr>
                <w:rStyle w:val="C3"/>
                <w:rFonts w:ascii="黑体" w:hAnsi="黑体"/>
                <w:sz w:val="24"/>
              </w:rPr>
              <w:t xml:space="preserve">范       围</w:t>
            </w:r>
          </w:p>
        </w:tc>
        <w:tc>
          <w:tcPr>
            <w:tcW w:w="87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ind w:firstLine="1" w:left="-199"/>
              <w:jc w:val="center"/>
              <w:rPr>
                <w:rStyle w:val="C3"/>
                <w:rFonts w:ascii="黑体" w:hAnsi="黑体"/>
                <w:sz w:val="24"/>
              </w:rPr>
            </w:pPr>
            <w:r>
              <w:rPr>
                <w:rStyle w:val="C3"/>
                <w:rFonts w:ascii="黑体" w:hAnsi="黑体"/>
                <w:sz w:val="24"/>
              </w:rPr>
              <w:t>适用税额</w:t>
              <w:br w:type="textWrapping"/>
              <w:t>（元/平方米）</w:t>
            </w:r>
          </w:p>
        </w:tc>
      </w:tr>
      <w:tr>
        <w:trPr>
          <w:wAfter w:w="0" w:type="dxa"/>
          <w:trHeight w:hRule="atLeast" w:val="6212"/>
        </w:trPr>
        <w:tc>
          <w:tcPr>
            <w:tcW w:w="412"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黑体" w:hAnsi="黑体"/>
                <w:sz w:val="24"/>
              </w:rPr>
            </w:pPr>
            <w:r>
              <w:rPr>
                <w:rStyle w:val="C3"/>
                <w:rFonts w:ascii="黑体" w:hAnsi="黑体"/>
                <w:sz w:val="24"/>
              </w:rPr>
              <w:t>一</w:t>
            </w:r>
          </w:p>
        </w:tc>
        <w:tc>
          <w:tcPr>
            <w:tcW w:w="370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rPr>
                <w:rStyle w:val="C3"/>
                <w:rFonts w:ascii="宋体" w:hAnsi="宋体"/>
                <w:sz w:val="24"/>
              </w:rPr>
            </w:pPr>
            <w:r>
              <w:rPr>
                <w:rStyle w:val="C3"/>
                <w:rFonts w:ascii="宋体" w:hAnsi="宋体"/>
                <w:sz w:val="24"/>
              </w:rPr>
              <w:t>（1）合肥市瑶海区、庐阳区、蜀山区、包河区；</w:t>
              <w:br w:type="textWrapping"/>
              <w:t>（2）淮北市杜集区、相山区、烈山区；</w:t>
              <w:br w:type="textWrapping"/>
              <w:t>（3）宿州市砀山县；</w:t>
              <w:br w:type="textWrapping"/>
              <w:t>（4）蚌埠市龙子湖区、蚌山区、禹会区；</w:t>
              <w:br w:type="textWrapping"/>
              <w:t>（5）阜阳市颍州区、颍泉区、临泉县、阜南县、界首市；</w:t>
              <w:br w:type="textWrapping"/>
              <w:t>（6）淮南市田家庵区、谢家集区、八公山区；</w:t>
            </w:r>
          </w:p>
          <w:p>
            <w:pPr>
              <w:pStyle w:val="P1"/>
              <w:spacing w:lineRule="exact" w:line="400"/>
              <w:rPr>
                <w:rStyle w:val="C3"/>
                <w:rFonts w:ascii="宋体" w:hAnsi="宋体"/>
                <w:sz w:val="24"/>
              </w:rPr>
            </w:pPr>
            <w:r>
              <w:rPr>
                <w:rStyle w:val="C3"/>
                <w:rFonts w:ascii="宋体" w:hAnsi="宋体"/>
                <w:sz w:val="24"/>
              </w:rPr>
              <w:t>（7）滁州市琅琊区；</w:t>
              <w:br w:type="textWrapping"/>
              <w:t>（8）六安市舒城县、金寨县、霍山县；</w:t>
              <w:br w:type="textWrapping"/>
              <w:t>（9）马鞍山市花山区、雨山区；</w:t>
              <w:br w:type="textWrapping"/>
              <w:t>（10）芜湖市镜湖区、弋江区、鸠江区、三山区、繁昌县；</w:t>
              <w:br w:type="textWrapping"/>
              <w:t>（11）宣城市宁国市；</w:t>
              <w:br w:type="textWrapping"/>
              <w:t>（12）铜陵市铜官区、郊区；</w:t>
              <w:br w:type="textWrapping"/>
              <w:t>（13）池州市石台县；</w:t>
              <w:br w:type="textWrapping"/>
              <w:t>（14）安庆市迎江区、大观区、宜秀区、岳西县；</w:t>
              <w:br w:type="textWrapping"/>
              <w:t>（15）黄山市屯溪区、黄山区、徽州区、歙县、休宁县、祁门县。</w:t>
            </w:r>
          </w:p>
        </w:tc>
        <w:tc>
          <w:tcPr>
            <w:tcW w:w="87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宋体" w:hAnsi="宋体"/>
                <w:sz w:val="24"/>
              </w:rPr>
            </w:pPr>
            <w:r>
              <w:rPr>
                <w:rStyle w:val="C3"/>
                <w:rFonts w:ascii="宋体" w:hAnsi="宋体"/>
                <w:sz w:val="24"/>
              </w:rPr>
              <w:t>37.5</w:t>
            </w:r>
          </w:p>
        </w:tc>
      </w:tr>
      <w:tr>
        <w:trPr>
          <w:wAfter w:w="0" w:type="dxa"/>
          <w:trHeight w:hRule="atLeast" w:val="3821"/>
        </w:trPr>
        <w:tc>
          <w:tcPr>
            <w:tcW w:w="412"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黑体" w:hAnsi="黑体"/>
                <w:sz w:val="24"/>
              </w:rPr>
            </w:pPr>
            <w:r>
              <w:rPr>
                <w:rStyle w:val="C3"/>
                <w:rFonts w:ascii="黑体" w:hAnsi="黑体"/>
                <w:sz w:val="24"/>
              </w:rPr>
              <w:t>二</w:t>
            </w:r>
          </w:p>
        </w:tc>
        <w:tc>
          <w:tcPr>
            <w:tcW w:w="370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rPr>
                <w:rStyle w:val="C3"/>
                <w:rFonts w:ascii="宋体" w:hAnsi="宋体"/>
                <w:sz w:val="24"/>
              </w:rPr>
            </w:pPr>
            <w:r>
              <w:rPr>
                <w:rStyle w:val="C3"/>
                <w:rFonts w:ascii="宋体" w:hAnsi="宋体"/>
                <w:sz w:val="24"/>
              </w:rPr>
              <w:t>（1）合肥市巢湖市、肥东县、肥西县、庐江县；</w:t>
              <w:br w:type="textWrapping"/>
              <w:t>（2）淮北市濉溪县；</w:t>
              <w:br w:type="textWrapping"/>
              <w:t>（3）亳州市谯城区、涡阳县、蒙城县、利辛县；</w:t>
              <w:br w:type="textWrapping"/>
              <w:t>（4）宿州市埇桥区、萧县、灵璧县；</w:t>
              <w:br w:type="textWrapping"/>
              <w:t>（5）蚌埠市淮上区、怀远县、五河县；</w:t>
              <w:br w:type="textWrapping"/>
              <w:t>（6）阜阳市颍东区、太和县、颍上县；</w:t>
              <w:br w:type="textWrapping"/>
              <w:t>（7）淮南市大通区、潘集区、凤台县；</w:t>
              <w:br w:type="textWrapping"/>
              <w:t>（8）六安市金安区、裕安区、叶集区、霍邱县；</w:t>
              <w:br w:type="textWrapping"/>
              <w:t>（9）马鞍山市博望区、当涂县、含山县、和县；</w:t>
            </w:r>
          </w:p>
        </w:tc>
        <w:tc>
          <w:tcPr>
            <w:tcW w:w="87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宋体" w:hAnsi="宋体"/>
                <w:sz w:val="24"/>
              </w:rPr>
            </w:pPr>
            <w:r>
              <w:rPr>
                <w:rStyle w:val="C3"/>
                <w:rFonts w:ascii="宋体" w:hAnsi="宋体"/>
                <w:sz w:val="24"/>
              </w:rPr>
              <w:t>26.25</w:t>
            </w:r>
          </w:p>
        </w:tc>
      </w:tr>
      <w:tr>
        <w:trPr>
          <w:wAfter w:w="0" w:type="dxa"/>
          <w:trHeight w:hRule="atLeast" w:val="2996"/>
        </w:trPr>
        <w:tc>
          <w:tcPr>
            <w:tcW w:w="412"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黑体" w:hAnsi="黑体"/>
                <w:sz w:val="24"/>
              </w:rPr>
            </w:pPr>
            <w:r>
              <w:rPr>
                <w:rStyle w:val="C3"/>
                <w:rFonts w:ascii="黑体" w:hAnsi="黑体"/>
                <w:sz w:val="24"/>
              </w:rPr>
              <w:t>二</w:t>
            </w:r>
          </w:p>
        </w:tc>
        <w:tc>
          <w:tcPr>
            <w:tcW w:w="370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rPr>
                <w:rStyle w:val="C3"/>
                <w:rFonts w:ascii="宋体" w:hAnsi="宋体"/>
                <w:sz w:val="24"/>
              </w:rPr>
            </w:pPr>
            <w:r>
              <w:rPr>
                <w:rStyle w:val="C3"/>
                <w:rFonts w:ascii="宋体" w:hAnsi="宋体"/>
                <w:sz w:val="24"/>
              </w:rPr>
              <w:t>（10）芜湖市芜湖县、南陵县、无为县；</w:t>
              <w:br w:type="textWrapping"/>
              <w:t>（11）宣城市宣州区、郎溪县、广德县、泾县、绩溪县、旌德县；</w:t>
              <w:br w:type="textWrapping"/>
              <w:t>（12）铜陵市义安区、枞阳县；</w:t>
              <w:br w:type="textWrapping"/>
              <w:t>（13）池州市贵池区、东至县、青阳县；</w:t>
              <w:br w:type="textWrapping"/>
              <w:t>（14）安庆市怀宁县、潜山市、太湖县、宿松县、望江县、桐城市；</w:t>
              <w:br w:type="textWrapping"/>
              <w:t>（15）黄山市黟县。</w:t>
            </w:r>
          </w:p>
        </w:tc>
        <w:tc>
          <w:tcPr>
            <w:tcW w:w="87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宋体" w:hAnsi="宋体"/>
                <w:sz w:val="24"/>
              </w:rPr>
            </w:pPr>
            <w:r>
              <w:rPr>
                <w:rStyle w:val="C3"/>
                <w:rFonts w:ascii="宋体" w:hAnsi="宋体"/>
                <w:sz w:val="24"/>
              </w:rPr>
              <w:t>26.25</w:t>
            </w:r>
          </w:p>
        </w:tc>
      </w:tr>
      <w:tr>
        <w:trPr>
          <w:wAfter w:w="0" w:type="dxa"/>
          <w:trHeight w:hRule="atLeast" w:val="2464"/>
        </w:trPr>
        <w:tc>
          <w:tcPr>
            <w:tcW w:w="412"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黑体" w:hAnsi="黑体"/>
                <w:sz w:val="24"/>
              </w:rPr>
            </w:pPr>
            <w:r>
              <w:rPr>
                <w:rStyle w:val="C3"/>
                <w:rFonts w:ascii="黑体" w:hAnsi="黑体"/>
                <w:sz w:val="24"/>
              </w:rPr>
              <w:t>三</w:t>
            </w:r>
          </w:p>
        </w:tc>
        <w:tc>
          <w:tcPr>
            <w:tcW w:w="370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rPr>
                <w:rStyle w:val="C3"/>
                <w:rFonts w:ascii="宋体" w:hAnsi="宋体"/>
                <w:sz w:val="24"/>
              </w:rPr>
            </w:pPr>
            <w:r>
              <w:rPr>
                <w:rStyle w:val="C3"/>
                <w:rFonts w:ascii="宋体" w:hAnsi="宋体"/>
                <w:sz w:val="24"/>
              </w:rPr>
              <w:t>（1）合肥市长丰县；</w:t>
              <w:br w:type="textWrapping"/>
              <w:t>（2）宿州市泗县；</w:t>
              <w:br w:type="textWrapping"/>
              <w:t>（3）蚌埠市固镇县；</w:t>
              <w:br w:type="textWrapping"/>
              <w:t>（4）淮南市寿县；</w:t>
              <w:br w:type="textWrapping"/>
              <w:t>（5）滁州市南谯区、来安县、全椒县、定远县、凤阳县、天长市、明光市。</w:t>
            </w:r>
          </w:p>
        </w:tc>
        <w:tc>
          <w:tcPr>
            <w:tcW w:w="879"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宋体" w:hAnsi="宋体"/>
                <w:sz w:val="24"/>
              </w:rPr>
            </w:pPr>
            <w:r>
              <w:rPr>
                <w:rStyle w:val="C3"/>
                <w:rFonts w:ascii="宋体" w:hAnsi="宋体"/>
                <w:sz w:val="24"/>
              </w:rPr>
              <w:t>18.75</w:t>
            </w:r>
          </w:p>
        </w:tc>
      </w:tr>
      <w:tr>
        <w:trPr>
          <w:wAfter w:w="0" w:type="dxa"/>
          <w:trHeight w:hRule="atLeast" w:val="567"/>
        </w:trPr>
        <w:tc>
          <w:tcPr>
            <w:tcW w:w="412" w:type="pct"/>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jc w:val="center"/>
              <w:rPr>
                <w:rStyle w:val="C3"/>
                <w:rFonts w:ascii="黑体" w:hAnsi="黑体"/>
                <w:sz w:val="24"/>
              </w:rPr>
            </w:pPr>
            <w:r>
              <w:rPr>
                <w:rStyle w:val="C3"/>
                <w:rFonts w:ascii="黑体" w:hAnsi="黑体"/>
                <w:sz w:val="24"/>
              </w:rPr>
              <w:t>说明</w:t>
            </w:r>
          </w:p>
        </w:tc>
        <w:tc>
          <w:tcPr>
            <w:tcW w:w="4588" w:type="pct"/>
            <w:gridSpan w:val="2"/>
            <w:tcBorders>
              <w:top w:val="single" w:sz="4" w:space="0" w:shadow="0" w:frame="0"/>
              <w:left w:val="single" w:sz="4" w:space="0" w:shadow="0" w:frame="0"/>
              <w:bottom w:val="single" w:sz="4" w:space="0" w:shadow="0" w:frame="0"/>
              <w:right w:val="single" w:sz="4" w:space="0" w:shadow="0" w:frame="0"/>
            </w:tcBorders>
            <w:vAlign w:val="center"/>
          </w:tcPr>
          <w:p>
            <w:pPr>
              <w:pStyle w:val="P1"/>
              <w:spacing w:lineRule="exact" w:line="400"/>
              <w:rPr>
                <w:rStyle w:val="C3"/>
                <w:rFonts w:ascii="宋体" w:hAnsi="宋体"/>
                <w:sz w:val="24"/>
              </w:rPr>
            </w:pPr>
            <w:r>
              <w:rPr>
                <w:rStyle w:val="C3"/>
                <w:rFonts w:ascii="宋体" w:hAnsi="宋体"/>
                <w:sz w:val="24"/>
              </w:rPr>
              <w:t>（1）占用基本农田的，按照当地适用税额，加按150%征收。</w:t>
              <w:br w:type="textWrapping"/>
              <w:t>（2）军事设施、学校、幼儿园、社会福利机构、医疗机构占用耕地，免征耕地占用税。</w:t>
              <w:br w:type="textWrapping"/>
              <w:t>（3）铁路线路、公路线路、飞机场跑道、停机坪、港口、航道、水利工程占用耕地，减按每平方米2元的税额征收耕地占用税。</w:t>
              <w:br w:type="textWrapping"/>
              <w:t>（4）农村居民在规定用地标准以内占用耕地新建自用住宅，按照当地适用税额减半征收耕地占用税；其中农村居民经批准搬迁，新建自用住宅占用耕地不超过原宅基地面积的部分，免征耕地占用税。</w:t>
              <w:br w:type="textWrapping"/>
              <w:t>（5）农村烈士遗属、因公牺牲军人遗属、残疾军人以及符合农村最低生活保障条件的农村居民，在规定用地标准以内新建自用住宅，免征耕地占用税。</w:t>
              <w:br w:type="textWrapping"/>
              <w:t>（6）占用园地、林地、草地、农田水利用地、养殖水面、渔业水域滩涂以及其他农用地的，按照当地适用税额的80%征收。</w:t>
            </w:r>
          </w:p>
        </w:tc>
      </w:tr>
    </w:tbl>
    <w:p>
      <w:pPr>
        <w:pStyle w:val="P1"/>
        <w:ind w:firstLine="632"/>
        <w:rPr>
          <w:rStyle w:val="C3"/>
        </w:rPr>
      </w:pPr>
    </w:p>
    <w:sectPr>
      <w:footerReference xmlns:r="http://schemas.openxmlformats.org/officeDocument/2006/relationships" w:type="default" r:id="RelFtr1"/>
      <w:type w:val="nextPage"/>
      <w:pgSz w:w="11907" w:h="16840" w:code="0"/>
      <w:pgMar w:left="1531" w:right="1531" w:top="1928" w:bottom="1928" w:header="851" w:footer="1588"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2"/>
      <w:ind w:firstLine="360" w:right="360"/>
      <w:rPr>
        <w:rStyle w:val="C3"/>
      </w:rPr>
    </w:pPr>
  </w:p>
</w:ftr>
</file>

<file path=word/numbering.xml><?xml version="1.0" encoding="utf-8"?>
<w:numbering xmlns:w="http://schemas.openxmlformats.org/wordprocessingml/2006/main">
  <w:abstractNum w:abstractNumId="0">
    <w:nsid w:val="965B4D7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9E41F5"/>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2">
    <w:nsid w:val="19F513B6"/>
    <w:multiLevelType w:val="multilevel"/>
    <w:lvl w:ilvl="0">
      <w:start w:val="1"/>
      <w:numFmt w:val="japaneseCounting"/>
      <w:suff w:val="tab"/>
      <w:lvlText w:val="%1、"/>
      <w:lvlJc w:val="left"/>
      <w:pPr>
        <w:ind w:hanging="720" w:left="1360"/>
        <w:tabs>
          <w:tab w:val="left" w:pos="1360" w:leader="none"/>
        </w:tabs>
      </w:pPr>
      <w:rPr/>
    </w:lvl>
    <w:lvl w:ilvl="1">
      <w:start w:val="1"/>
      <w:numFmt w:val="lowerLetter"/>
      <w:suff w:val="tab"/>
      <w:lvlText w:val="%2)"/>
      <w:lvlJc w:val="left"/>
      <w:pPr>
        <w:ind w:hanging="420" w:left="1480"/>
        <w:tabs>
          <w:tab w:val="left" w:pos="1480" w:leader="none"/>
        </w:tabs>
      </w:pPr>
      <w:rPr/>
    </w:lvl>
    <w:lvl w:ilvl="2">
      <w:start w:val="1"/>
      <w:numFmt w:val="lowerRoman"/>
      <w:suff w:val="tab"/>
      <w:lvlText w:val="%3."/>
      <w:lvlJc w:val="right"/>
      <w:pPr>
        <w:ind w:hanging="420" w:left="1900"/>
        <w:tabs>
          <w:tab w:val="left" w:pos="1900" w:leader="none"/>
        </w:tabs>
      </w:pPr>
      <w:rPr/>
    </w:lvl>
    <w:lvl w:ilvl="3">
      <w:start w:val="1"/>
      <w:numFmt w:val="decimal"/>
      <w:suff w:val="tab"/>
      <w:lvlText w:val="%4."/>
      <w:lvlJc w:val="left"/>
      <w:pPr>
        <w:ind w:hanging="420" w:left="2320"/>
        <w:tabs>
          <w:tab w:val="left" w:pos="2320" w:leader="none"/>
        </w:tabs>
      </w:pPr>
      <w:rPr/>
    </w:lvl>
    <w:lvl w:ilvl="4">
      <w:start w:val="1"/>
      <w:numFmt w:val="lowerLetter"/>
      <w:suff w:val="tab"/>
      <w:lvlText w:val="%5)"/>
      <w:lvlJc w:val="left"/>
      <w:pPr>
        <w:ind w:hanging="420" w:left="2740"/>
        <w:tabs>
          <w:tab w:val="left" w:pos="2740" w:leader="none"/>
        </w:tabs>
      </w:pPr>
      <w:rPr/>
    </w:lvl>
    <w:lvl w:ilvl="5">
      <w:start w:val="1"/>
      <w:numFmt w:val="lowerRoman"/>
      <w:suff w:val="tab"/>
      <w:lvlText w:val="%6."/>
      <w:lvlJc w:val="right"/>
      <w:pPr>
        <w:ind w:hanging="420" w:left="3160"/>
        <w:tabs>
          <w:tab w:val="left" w:pos="3160" w:leader="none"/>
        </w:tabs>
      </w:pPr>
      <w:rPr/>
    </w:lvl>
    <w:lvl w:ilvl="6">
      <w:start w:val="1"/>
      <w:numFmt w:val="decimal"/>
      <w:suff w:val="tab"/>
      <w:lvlText w:val="%7."/>
      <w:lvlJc w:val="left"/>
      <w:pPr>
        <w:ind w:hanging="420" w:left="3580"/>
        <w:tabs>
          <w:tab w:val="left" w:pos="3580" w:leader="none"/>
        </w:tabs>
      </w:pPr>
      <w:rPr/>
    </w:lvl>
    <w:lvl w:ilvl="7">
      <w:start w:val="1"/>
      <w:numFmt w:val="lowerLetter"/>
      <w:suff w:val="tab"/>
      <w:lvlText w:val="%8)"/>
      <w:lvlJc w:val="left"/>
      <w:pPr>
        <w:ind w:hanging="420" w:left="4000"/>
        <w:tabs>
          <w:tab w:val="left" w:pos="4000" w:leader="none"/>
        </w:tabs>
      </w:pPr>
      <w:rPr/>
    </w:lvl>
    <w:lvl w:ilvl="8">
      <w:start w:val="1"/>
      <w:numFmt w:val="lowerRoman"/>
      <w:suff w:val="tab"/>
      <w:lvlText w:val="%9."/>
      <w:lvlJc w:val="right"/>
      <w:pPr>
        <w:ind w:hanging="420" w:left="4420"/>
        <w:tabs>
          <w:tab w:val="left" w:pos="4420" w:leader="none"/>
        </w:tabs>
      </w:pPr>
      <w:rPr/>
    </w:lvl>
  </w:abstractNum>
  <w:abstractNum w:abstractNumId="3">
    <w:nsid w:val="30DE61A1"/>
    <w:multiLevelType w:val="multilevel"/>
    <w:lvl w:ilvl="0">
      <w:start w:val="1"/>
      <w:numFmt w:val="decimal"/>
      <w:suff w:val="tab"/>
      <w:lvlText w:val="%1."/>
      <w:lvlJc w:val="left"/>
      <w:pPr>
        <w:ind w:hanging="360" w:left="1000"/>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4">
    <w:nsid w:val="341E4023"/>
    <w:multiLevelType w:val="multilevel"/>
    <w:lvl w:ilvl="0">
      <w:start w:val="1"/>
      <w:numFmt w:val="decimal"/>
      <w:suff w:val="tab"/>
      <w:lvlText w:val="%1."/>
      <w:lvlJc w:val="left"/>
      <w:pPr>
        <w:tabs>
          <w:tab w:val="left" w:pos="31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55C2657"/>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A94013F"/>
    <w:multiLevelType w:val="multilevel"/>
    <w:lvl w:ilvl="0">
      <w:start w:val="1"/>
      <w:numFmt w:val="decimal"/>
      <w:suff w:val="tab"/>
      <w:lvlText w:val="%1．"/>
      <w:lvlJc w:val="left"/>
      <w:pPr>
        <w:ind w:hanging="1470" w:left="2110"/>
      </w:pPr>
      <w:rPr>
        <w:rFonts w:ascii="仿宋" w:hAnsi="仿宋"/>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7">
    <w:nsid w:val="6BC667C0"/>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abstractNum w:abstractNumId="8">
    <w:nsid w:val="74F47665"/>
    <w:multiLevelType w:val="multilevel"/>
    <w:lvl w:ilvl="0">
      <w:start w:val="1"/>
      <w:numFmt w:val="japaneseCounting"/>
      <w:suff w:val="tab"/>
      <w:lvlText w:val="%1、"/>
      <w:lvlJc w:val="left"/>
      <w:pPr>
        <w:ind w:hanging="720" w:left="1380"/>
        <w:tabs>
          <w:tab w:val="left" w:pos="1380" w:leader="none"/>
        </w:tabs>
      </w:pPr>
      <w:rPr/>
    </w:lvl>
    <w:lvl w:ilvl="1">
      <w:start w:val="1"/>
      <w:numFmt w:val="lowerLetter"/>
      <w:suff w:val="tab"/>
      <w:lvlText w:val="%2)"/>
      <w:lvlJc w:val="left"/>
      <w:pPr>
        <w:ind w:hanging="420" w:left="1500"/>
        <w:tabs>
          <w:tab w:val="left" w:pos="1500" w:leader="none"/>
        </w:tabs>
      </w:pPr>
      <w:rPr/>
    </w:lvl>
    <w:lvl w:ilvl="2">
      <w:start w:val="1"/>
      <w:numFmt w:val="lowerRoman"/>
      <w:suff w:val="tab"/>
      <w:lvlText w:val="%3."/>
      <w:lvlJc w:val="right"/>
      <w:pPr>
        <w:ind w:hanging="420" w:left="1920"/>
        <w:tabs>
          <w:tab w:val="left" w:pos="1920" w:leader="none"/>
        </w:tabs>
      </w:pPr>
      <w:rPr/>
    </w:lvl>
    <w:lvl w:ilvl="3">
      <w:start w:val="1"/>
      <w:numFmt w:val="decimal"/>
      <w:suff w:val="tab"/>
      <w:lvlText w:val="%4."/>
      <w:lvlJc w:val="left"/>
      <w:pPr>
        <w:ind w:hanging="420" w:left="2340"/>
        <w:tabs>
          <w:tab w:val="left" w:pos="2340" w:leader="none"/>
        </w:tabs>
      </w:pPr>
      <w:rPr/>
    </w:lvl>
    <w:lvl w:ilvl="4">
      <w:start w:val="1"/>
      <w:numFmt w:val="lowerLetter"/>
      <w:suff w:val="tab"/>
      <w:lvlText w:val="%5)"/>
      <w:lvlJc w:val="left"/>
      <w:pPr>
        <w:ind w:hanging="420" w:left="2760"/>
        <w:tabs>
          <w:tab w:val="left" w:pos="2760" w:leader="none"/>
        </w:tabs>
      </w:pPr>
      <w:rPr/>
    </w:lvl>
    <w:lvl w:ilvl="5">
      <w:start w:val="1"/>
      <w:numFmt w:val="lowerRoman"/>
      <w:suff w:val="tab"/>
      <w:lvlText w:val="%6."/>
      <w:lvlJc w:val="right"/>
      <w:pPr>
        <w:ind w:hanging="420" w:left="3180"/>
        <w:tabs>
          <w:tab w:val="left" w:pos="3180" w:leader="none"/>
        </w:tabs>
      </w:pPr>
      <w:rPr/>
    </w:lvl>
    <w:lvl w:ilvl="6">
      <w:start w:val="1"/>
      <w:numFmt w:val="decimal"/>
      <w:suff w:val="tab"/>
      <w:lvlText w:val="%7."/>
      <w:lvlJc w:val="left"/>
      <w:pPr>
        <w:ind w:hanging="420" w:left="3600"/>
        <w:tabs>
          <w:tab w:val="left" w:pos="3600" w:leader="none"/>
        </w:tabs>
      </w:pPr>
      <w:rPr/>
    </w:lvl>
    <w:lvl w:ilvl="7">
      <w:start w:val="1"/>
      <w:numFmt w:val="lowerLetter"/>
      <w:suff w:val="tab"/>
      <w:lvlText w:val="%8)"/>
      <w:lvlJc w:val="left"/>
      <w:pPr>
        <w:ind w:hanging="420" w:left="4020"/>
        <w:tabs>
          <w:tab w:val="left" w:pos="4020" w:leader="none"/>
        </w:tabs>
      </w:pPr>
      <w:rPr/>
    </w:lvl>
    <w:lvl w:ilvl="8">
      <w:start w:val="1"/>
      <w:numFmt w:val="lowerRoman"/>
      <w:suff w:val="tab"/>
      <w:lvlText w:val="%9."/>
      <w:lvlJc w:val="right"/>
      <w:pPr>
        <w:ind w:hanging="420" w:left="4440"/>
        <w:tabs>
          <w:tab w:val="left" w:pos="4440" w:leader="none"/>
        </w:tabs>
      </w:pPr>
      <w:rPr/>
    </w:lvl>
  </w:abstractNum>
  <w:abstractNum w:abstractNumId="9">
    <w:nsid w:val="76C5C594"/>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7A4D3C1C"/>
    <w:multiLevelType w:val="multilevel"/>
    <w:lvl w:ilvl="0">
      <w:start w:val="3"/>
      <w:numFmt w:val="japaneseCounting"/>
      <w:suff w:val="tab"/>
      <w:lvlText w:val="%1、"/>
      <w:lvlJc w:val="left"/>
      <w:pPr>
        <w:ind w:hanging="720" w:left="1520"/>
        <w:tabs>
          <w:tab w:val="left" w:pos="1520" w:leader="none"/>
        </w:tabs>
      </w:pPr>
      <w:rPr/>
    </w:lvl>
    <w:lvl w:ilvl="1">
      <w:start w:val="1"/>
      <w:numFmt w:val="lowerLetter"/>
      <w:suff w:val="tab"/>
      <w:lvlText w:val="%2)"/>
      <w:lvlJc w:val="left"/>
      <w:pPr>
        <w:ind w:hanging="420" w:left="1640"/>
        <w:tabs>
          <w:tab w:val="left" w:pos="1640" w:leader="none"/>
        </w:tabs>
      </w:pPr>
      <w:rPr/>
    </w:lvl>
    <w:lvl w:ilvl="2">
      <w:start w:val="1"/>
      <w:numFmt w:val="lowerRoman"/>
      <w:suff w:val="tab"/>
      <w:lvlText w:val="%3."/>
      <w:lvlJc w:val="right"/>
      <w:pPr>
        <w:ind w:hanging="420" w:left="2060"/>
        <w:tabs>
          <w:tab w:val="left" w:pos="2060" w:leader="none"/>
        </w:tabs>
      </w:pPr>
      <w:rPr/>
    </w:lvl>
    <w:lvl w:ilvl="3">
      <w:start w:val="1"/>
      <w:numFmt w:val="decimal"/>
      <w:suff w:val="tab"/>
      <w:lvlText w:val="%4."/>
      <w:lvlJc w:val="left"/>
      <w:pPr>
        <w:ind w:hanging="420" w:left="2480"/>
        <w:tabs>
          <w:tab w:val="left" w:pos="2480" w:leader="none"/>
        </w:tabs>
      </w:pPr>
      <w:rPr/>
    </w:lvl>
    <w:lvl w:ilvl="4">
      <w:start w:val="1"/>
      <w:numFmt w:val="lowerLetter"/>
      <w:suff w:val="tab"/>
      <w:lvlText w:val="%5)"/>
      <w:lvlJc w:val="left"/>
      <w:pPr>
        <w:ind w:hanging="420" w:left="2900"/>
        <w:tabs>
          <w:tab w:val="left" w:pos="2900" w:leader="none"/>
        </w:tabs>
      </w:pPr>
      <w:rPr/>
    </w:lvl>
    <w:lvl w:ilvl="5">
      <w:start w:val="1"/>
      <w:numFmt w:val="lowerRoman"/>
      <w:suff w:val="tab"/>
      <w:lvlText w:val="%6."/>
      <w:lvlJc w:val="right"/>
      <w:pPr>
        <w:ind w:hanging="420" w:left="3320"/>
        <w:tabs>
          <w:tab w:val="left" w:pos="3320" w:leader="none"/>
        </w:tabs>
      </w:pPr>
      <w:rPr/>
    </w:lvl>
    <w:lvl w:ilvl="6">
      <w:start w:val="1"/>
      <w:numFmt w:val="decimal"/>
      <w:suff w:val="tab"/>
      <w:lvlText w:val="%7."/>
      <w:lvlJc w:val="left"/>
      <w:pPr>
        <w:ind w:hanging="420" w:left="3740"/>
        <w:tabs>
          <w:tab w:val="left" w:pos="3740" w:leader="none"/>
        </w:tabs>
      </w:pPr>
      <w:rPr/>
    </w:lvl>
    <w:lvl w:ilvl="7">
      <w:start w:val="1"/>
      <w:numFmt w:val="lowerLetter"/>
      <w:suff w:val="tab"/>
      <w:lvlText w:val="%8)"/>
      <w:lvlJc w:val="left"/>
      <w:pPr>
        <w:ind w:hanging="420" w:left="4160"/>
        <w:tabs>
          <w:tab w:val="left" w:pos="4160" w:leader="none"/>
        </w:tabs>
      </w:pPr>
      <w:rPr/>
    </w:lvl>
    <w:lvl w:ilvl="8">
      <w:start w:val="1"/>
      <w:numFmt w:val="lowerRoman"/>
      <w:suff w:val="tab"/>
      <w:lvlText w:val="%9."/>
      <w:lvlJc w:val="right"/>
      <w:pPr>
        <w:ind w:hanging="420" w:left="4580"/>
        <w:tabs>
          <w:tab w:val="left" w:pos="4580" w:leader="none"/>
        </w:tabs>
      </w:pPr>
      <w:rPr/>
    </w:lvl>
  </w:abstractNum>
  <w:num w:numId="1">
    <w:abstractNumId w:val="10"/>
  </w:num>
  <w:num w:numId="2">
    <w:abstractNumId w:val="7"/>
  </w:num>
  <w:num w:numId="3">
    <w:abstractNumId w:val="1"/>
  </w:num>
  <w:num w:numId="4">
    <w:abstractNumId w:val="6"/>
  </w:num>
  <w:num w:numId="5">
    <w:abstractNumId w:val="3"/>
  </w:num>
  <w:num w:numId="6">
    <w:abstractNumId w:val="5"/>
  </w:num>
  <w:num w:numId="7">
    <w:abstractNumId w:val="8"/>
  </w:num>
  <w:num w:numId="8">
    <w:abstractNumId w:val="2"/>
  </w:num>
  <w:num w:numId="9">
    <w:abstractNumId w:val="0"/>
  </w:num>
  <w:num w:numId="10">
    <w:abstractNumId w:val="9"/>
  </w:num>
  <w:num w:numId="11">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脚"/>
    <w:basedOn w:val="P1"/>
    <w:next w:val="P2"/>
    <w:link w:val="C7"/>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spacing w:before="100" w:after="100" w:beforeAutospacing="1" w:afterAutospacing="1"/>
      <w:jc w:val="left"/>
    </w:pPr>
    <w:rPr>
      <w:rFonts w:ascii="宋体" w:hAnsi="宋体"/>
      <w:color w:val="000000"/>
      <w:sz w:val="24"/>
    </w:rPr>
  </w:style>
  <w:style w:type="paragraph" w:styleId="P5">
    <w:name w:val="正文文本缩进 2"/>
    <w:basedOn w:val="P1"/>
    <w:next w:val="P5"/>
    <w:pPr>
      <w:ind w:firstLine="608"/>
    </w:pPr>
    <w:rPr/>
  </w:style>
  <w:style w:type="paragraph" w:styleId="P6">
    <w:name w:val="Char"/>
    <w:basedOn w:val="P1"/>
    <w:next w:val="P6"/>
    <w:pPr>
      <w:tabs>
        <w:tab w:val="left" w:pos="360" w:leader="none"/>
      </w:tabs>
      <w:ind w:hanging="360" w:left="360"/>
    </w:pPr>
    <w:rPr>
      <w:sz w:val="24"/>
    </w:rPr>
  </w:style>
  <w:style w:type="paragraph" w:styleId="P7">
    <w:name w:val="正文文本"/>
    <w:basedOn w:val="P1"/>
    <w:next w:val="P7"/>
    <w:pPr>
      <w:spacing w:after="120"/>
    </w:pPr>
    <w:rPr/>
  </w:style>
  <w:style w:type="paragraph" w:styleId="P8">
    <w:name w:val="正文文本 2"/>
    <w:basedOn w:val="P1"/>
    <w:next w:val="P8"/>
    <w:pPr>
      <w:spacing w:lineRule="auto" w:line="480" w:after="120"/>
    </w:pPr>
    <w:rPr>
      <w:sz w:val="21"/>
    </w:rPr>
  </w:style>
  <w:style w:type="paragraph" w:styleId="P9">
    <w:name w:val="日期"/>
    <w:basedOn w:val="P1"/>
    <w:next w:val="P1"/>
    <w:pPr>
      <w:ind w:left="100"/>
    </w:pPr>
    <w:rPr/>
  </w:style>
  <w:style w:type="paragraph" w:styleId="P10">
    <w:name w:val="文档结构图"/>
    <w:basedOn w:val="P1"/>
    <w:next w:val="P10"/>
    <w:pPr>
      <w:shd w:val="clear" w:fill="000080"/>
    </w:pPr>
    <w:rPr/>
  </w:style>
  <w:style w:type="paragraph" w:styleId="P11">
    <w:name w:val="默认段落字体 Para Char Char Char Char Char Char Char Char Char Char Char Char Char Char Char Char"/>
    <w:basedOn w:val="P1"/>
    <w:next w:val="P11"/>
    <w:pPr/>
    <w:rPr>
      <w:sz w:val="21"/>
    </w:rPr>
  </w:style>
  <w:style w:type="paragraph" w:styleId="P12">
    <w:name w:val="批注框文本"/>
    <w:basedOn w:val="P1"/>
    <w:next w:val="P12"/>
    <w:pPr/>
    <w:rPr>
      <w:sz w:val="18"/>
    </w:rPr>
  </w:style>
  <w:style w:type="paragraph" w:styleId="P13">
    <w:name w:val="默认段落字体 Para Char Char Char Char"/>
    <w:basedOn w:val="P1"/>
    <w:next w:val="P13"/>
    <w:pPr/>
    <w:rPr>
      <w:sz w:val="21"/>
    </w:rPr>
  </w:style>
  <w:style w:type="paragraph" w:styleId="P14">
    <w:name w:val="p0"/>
    <w:basedOn w:val="P1"/>
    <w:next w:val="P14"/>
    <w:pPr>
      <w:widowControl w:val="1"/>
    </w:pPr>
    <w:rPr>
      <w:sz w:val="21"/>
    </w:rPr>
  </w:style>
  <w:style w:type="paragraph" w:styleId="P15">
    <w:name w:val="List Paragraph"/>
    <w:basedOn w:val="P1"/>
    <w:next w:val="P15"/>
    <w:pPr>
      <w:ind w:firstLine="420"/>
    </w:pPr>
    <w:rPr>
      <w:rFonts w:ascii="Calibri" w:hAnsi="Calibri"/>
      <w:sz w:val="21"/>
    </w:rPr>
  </w:style>
  <w:style w:type="paragraph" w:styleId="P16">
    <w:name w:val="正文文本缩进"/>
    <w:basedOn w:val="P1"/>
    <w:next w:val="P16"/>
    <w:pPr>
      <w:spacing w:lineRule="auto" w:line="360"/>
      <w:ind w:firstLine="560"/>
    </w:pPr>
    <w:rPr>
      <w:rFonts w:ascii="宋体" w:hAnsi="宋体"/>
      <w:sz w:val="28"/>
    </w:rPr>
  </w:style>
  <w:style w:type="paragraph" w:styleId="P17">
    <w:name w:val="Char1"/>
    <w:basedOn w:val="P1"/>
    <w:next w:val="P17"/>
    <w:pPr>
      <w:tabs>
        <w:tab w:val="left" w:pos="360" w:leader="none"/>
      </w:tabs>
    </w:pPr>
    <w:rPr/>
  </w:style>
  <w:style w:type="paragraph" w:styleId="P18">
    <w:name w:val="p15"/>
    <w:basedOn w:val="P1"/>
    <w:next w:val="P18"/>
    <w:pPr>
      <w:widowControl w:val="1"/>
      <w:spacing w:before="100" w:after="100" w:beforeAutospacing="1" w:afterAutospacing="1"/>
      <w:jc w:val="left"/>
    </w:pPr>
    <w:rPr>
      <w:rFonts w:ascii="宋体" w:hAnsi="宋体"/>
      <w:sz w:val="24"/>
    </w:rPr>
  </w:style>
  <w:style w:type="paragraph" w:styleId="P19">
    <w:name w:val="Char Char Char Char"/>
    <w:basedOn w:val="P1"/>
    <w:next w:val="P19"/>
    <w:pPr/>
    <w:rPr>
      <w:sz w:val="21"/>
    </w:rPr>
  </w:style>
  <w:style w:type="paragraph" w:styleId="P20">
    <w:name w:val="纯文本"/>
    <w:basedOn w:val="P1"/>
    <w:next w:val="P20"/>
    <w:link w:val="C8"/>
    <w:pPr/>
    <w:rPr>
      <w:rFonts w:ascii="宋体" w:hAnsi="宋体"/>
      <w:sz w:val="21"/>
    </w:rPr>
  </w:style>
  <w:style w:type="paragraph" w:styleId="P21">
    <w:name w:val=" Char Char Char Char Char Char Char"/>
    <w:basedOn w:val="P1"/>
    <w:next w:val="P21"/>
    <w:link w:val="C3"/>
    <w:pPr/>
    <w:rPr>
      <w:rFonts w:ascii="Tahoma" w:hAnsi="Tahoma"/>
      <w:sz w:val="24"/>
    </w:rPr>
  </w:style>
  <w:style w:type="paragraph" w:styleId="P22">
    <w:name w:val=" Char"/>
    <w:basedOn w:val="P10"/>
    <w:next w:val="P22"/>
    <w:pPr>
      <w:spacing w:lineRule="exact" w:line="436"/>
      <w:ind w:left="357"/>
      <w:jc w:val="left"/>
      <w:outlineLvl w:val="3"/>
    </w:pPr>
    <w:rPr>
      <w:rFonts w:ascii="Tahoma" w:hAnsi="Tahoma"/>
      <w:b w:val="1"/>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1"/>
    <w:rPr>
      <w:rFonts w:ascii="Tahoma" w:hAnsi="Tahoma"/>
      <w:sz w:val="24"/>
    </w:rPr>
  </w:style>
  <w:style w:type="character" w:styleId="C4">
    <w:name w:val="强调"/>
    <w:qFormat/>
    <w:rPr>
      <w:color w:val="CC0000"/>
    </w:rPr>
  </w:style>
  <w:style w:type="character" w:styleId="C5">
    <w:name w:val="页码"/>
    <w:basedOn w:val="C3"/>
    <w:rPr/>
  </w:style>
  <w:style w:type="character" w:styleId="C6">
    <w:name w:val="超链接"/>
    <w:basedOn w:val="C3"/>
    <w:rPr>
      <w:color w:val="0000FF"/>
      <w:u w:val="single"/>
    </w:rPr>
  </w:style>
  <w:style w:type="character" w:styleId="C7">
    <w:name w:val=" Char Char"/>
    <w:basedOn w:val="C3"/>
    <w:link w:val="P2"/>
    <w:rPr>
      <w:sz w:val="18"/>
    </w:rPr>
  </w:style>
  <w:style w:type="character" w:styleId="C8">
    <w:name w:val=" Char Char1"/>
    <w:basedOn w:val="C3"/>
    <w:link w:val="P20"/>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ch</dc:creator>
  <dcterms:created xsi:type="dcterms:W3CDTF">2019-07-29T02:51:00Z</dcterms:created>
  <cp:lastModifiedBy>f1TZOF\f1TZOF-</cp:lastModifiedBy>
  <cp:lastPrinted>2019-05-23T06:45:00Z</cp:lastPrinted>
  <dcterms:modified xsi:type="dcterms:W3CDTF">2024-08-28T01:35:06Z</dcterms:modified>
  <cp:revision>5</cp:revision>
  <dc:title>板心</dc:title>
</cp:coreProperties>
</file>