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B0FF54" Type="http://schemas.openxmlformats.org/officeDocument/2006/relationships/officeDocument" Target="/word/document.xml" /><Relationship Id="coreR2AB0FF54" Type="http://schemas.openxmlformats.org/package/2006/relationships/metadata/core-properties" Target="/docProps/core.xml" /><Relationship Id="customR2AB0FF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1"/>
        <w:rPr>
          <w:rStyle w:val="C3"/>
          <w:rFonts w:ascii="宋体" w:hAnsi="宋体"/>
          <w:b w:val="1"/>
          <w:sz w:val="32"/>
        </w:rPr>
      </w:pPr>
      <w:r>
        <w:rPr>
          <w:rStyle w:val="C3"/>
          <w:rFonts w:ascii="宋体" w:hAnsi="宋体"/>
          <w:b w:val="1"/>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宋体" w:hAnsi="宋体"/>
          <w:sz w:val="44"/>
        </w:rPr>
      </w:pPr>
      <w:r>
        <w:rPr>
          <w:rStyle w:val="C3"/>
          <w:rFonts w:ascii="宋体" w:hAnsi="宋体"/>
          <w:sz w:val="44"/>
        </w:rPr>
        <w:t>西宁市城市房地产开发经营管理条例</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624" w:right="624"/>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日西宁市第十三届人民代表大会常务委员会第十九次会议通过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日青海省第十届人民代表大会常务委员会第十六次会议批准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日青海省第十三届人民代表大会常务委员会第二十四次会议批准的《西宁市人民代表大会常务委员会关于废止和修改部分地方性法规的决定》的决议修正）</w:t>
      </w:r>
    </w:p>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sz w:val="32"/>
        </w:rPr>
      </w:pPr>
      <w:r>
        <w:rPr>
          <w:rStyle w:val="C3"/>
          <w:rFonts w:ascii="黑体" w:hAnsi="黑体"/>
          <w:b w:val="0"/>
          <w:sz w:val="32"/>
        </w:rPr>
        <w:t xml:space="preserve">第一章  总则</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规范房地产开发经营行为，加强对城市房地产开发经营活动的监督管理，促进和保障房地产业的健康发展，根据《中华人民共和国城市房地产管理法》和国务院《城市房地产开发经营管理条例》等法律、法规，结合本市实际，制定本条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凡在本市行政区域内城市规划区国有土地上从事房地产开发经营和实施房地产开发经营监督管理活动，适用本条例。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本条例所称房地产开发经营，是指房地产开发企业在本市行政区域内城市规划区国有土地上进行基础设施建设、房屋建设，并转让房地产开发项目或者销售、出租商品房的行为。</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房地产开发经营应当按照经济效益、社会效益、环境效益相统一的原则，实行全面规划、合理布局、综合开发、配套建设，严格控制零星项目建设。</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市人民政府住房保障房产主管部门负责全市房地产开发经营活动的监督管理工作。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县人民政府住房保障房产主管部门负责本行政区域内的房地产开发经营活动的监督管理工作。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仿宋_GB2312" w:hAnsi="仿宋_GB2312"/>
          <w:sz w:val="32"/>
        </w:rPr>
      </w:pPr>
      <w:r>
        <w:rPr>
          <w:rStyle w:val="C3"/>
          <w:rFonts w:ascii="Microsoft YaHei UI" w:hAnsi="Microsoft YaHei UI"/>
          <w:sz w:val="32"/>
        </w:rPr>
        <w:t>市、县（区）人民政府自然资源规划主管部门依照有关法律、法规的规定，负责与房地产开发经营有关的土地管理工作。发展改革、自然资源规划、市场监管等主管部门按照各自的职责，协助住房保障房产主管部门做好房地产开发经营活动的管理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sz w:val="32"/>
        </w:rPr>
      </w:pPr>
      <w:r>
        <w:rPr>
          <w:rStyle w:val="C3"/>
          <w:rFonts w:ascii="黑体" w:hAnsi="黑体"/>
          <w:b w:val="0"/>
          <w:sz w:val="32"/>
        </w:rPr>
        <w:t xml:space="preserve">第二章  房地产开发企业</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设立房地产开发企业，应当符合有关法律、法规规定的企业设立条件，并向市、县人民政府市场监管主管部门申请登记。</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新设立的房地产开发企业应当自领取营业执照之日起三十日内，持下列文件到登记机关所在地的市、县住房保障房产主管部门备案：</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（一）营业执照复印件；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（二）企业章程；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（三）专业技术人员资格证书和聘用合同。</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住房保障房产主管部门应当在收到备案申请之日起五日内将有关备案资料报送市住房保障房产主管部门。市住房保障房产主管部门应当在收到备案申请和有关备案资料后三十日内向符合条件的房地产开发企业核发《暂定资质证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《暂定资质证书》有效期为一年。住房保障房产主管部门可以视企业经营情况延长《暂定资质证书》有效期，但延长期限不得超过二年。</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自领取《暂定资质证书》之日起一年内无开发项目的，《暂定资质证书》有效期不得延长。</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房地产开发企业应当在《暂定资质证书》有效期满前三十日内向市住房保障房产主管部门申请核定资质等级。</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45" w:left="0" w:right="0"/>
        <w:jc w:val="left"/>
        <w:rPr>
          <w:rStyle w:val="C3"/>
          <w:rFonts w:ascii="仿宋_GB2312" w:hAnsi="仿宋_GB2312"/>
          <w:sz w:val="32"/>
        </w:rPr>
      </w:pPr>
      <w:r>
        <w:rPr>
          <w:rStyle w:val="C3"/>
          <w:rFonts w:ascii="Microsoft YaHei UI" w:hAnsi="Microsoft YaHei UI"/>
          <w:sz w:val="32"/>
        </w:rPr>
        <w:t>市住房保障房产主管部门应当按照国家有关规定，根据房地产开发企业的资产、专业技术人员和开发经营业绩等，对备案的房地产开发企业初审资质等级，并报上级住房保障房产主管部门审批。</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45"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sz w:val="32"/>
        </w:rPr>
      </w:pPr>
      <w:r>
        <w:rPr>
          <w:rStyle w:val="C3"/>
          <w:rFonts w:ascii="黑体" w:hAnsi="黑体"/>
          <w:b w:val="0"/>
          <w:sz w:val="32"/>
        </w:rPr>
        <w:t xml:space="preserve">第三章  房地产开发建设</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住房保障房产主管部门应当会同有关部门，根据本地区经济和社会发展规划、城市总体规划、土地利用总体规划、年度建设用地计划以及房地产市场供求情况等，编制本地区房地产开发规划和年度计划，报同级人民政府批准后，由住房保障房产主管部门组织实施。</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房地产开发用地应当以出让方式取得，但法律和国务院规定可以采用划拨方式的除外。土地使用权出让或者划拨前，市、县人民政府自然资源规划和住房保障房产主管部门应当对下列事项提出书面意见，作为土地使用权出让或者划拨的依据之一：</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（一）房地产开发项目的性质、规模和开发期限；</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（二）城市规划设计条件；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（三）基础设施和公共设施的建设要求；</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（四）基础设施建成后的产权界定；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（五）项目拆迁补偿、安置要求。</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房地产开发项目实行资本金制度。资本金占项目总投资的比例按照国家规定执行。</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房地产开发企业应当持住房保障房产主管部门出具的项目资本金缴存通知，在银行设立资本金专户，并足额缴存资本金。</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住房保障房产主管部门、银行及房地产开发企业三方共同签订资本金监管协议。项目资本金实行专款专用，不得挪作他用或者用于其他项目建设。</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项目资本金根据开发项目的形象进度分阶段逐步返还：</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（一）基础完工并验收合格后返还百分之五十；</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（二）主体工程完工并验收合格后返还百分之四十五，超过六层的建筑工程，百分之四十五的资本金可分为二至三次返还；</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（三）竣工验收合格后返还百分之五。</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开发项目管理实行房地产开发项目手册制度。房地产开发企业应当将房地产开发项目建设过程中的主要事项记录在房地产开发项目手册中，并于每季度末送住房保障房产主管部门备案。</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房地产开发企业应当按照土地使用权出让合同约定的土地用途、动工开发期限进行项目开发建设。出让合同约定的动工开发期限满三个月未动工开发的，由住房保障房产主管部门责令限期开工；满一年未动工开发的，可以征收相当于土地使用权出让金百分之二十以下的土地闲置费；满二年未动工开发的，可以无偿收回土地使用权。但因不可抗力或者政府、政府有关部门的行为或者动工开发必需的前期工作造成动工迟延的除外。</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房地产开发企业开发建设的房地产项目，应当符合有关法律法规的规定和建筑工程勘察、设计、施工的质量、安全标准以及合同约定。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房地产开发企业应当对其开发建设的项目质量承担责任。</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勘察、设计、施工、监理等单位应当依照有关法律、法规的规定或者合同的约定，承担相应的责任。</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房地产开发项目竣工并验收合格后，方可交付使用；未经验收或者验收不合格的，不得交付使用。</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房地产开发项目竣工后，房地产开发企业应当组织竣工验收，并报市或者县城乡建设主管部门备案。</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建设规模在二万平方米以上的住宅小区，可以实行分期验收和竣工综合验收制度。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分期验收的应当符合下列条件：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（一）验收范围内的建设项目已办理单体竣工验收手续；</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（二）验收范围内的建设项目已具备供水、供气、供电、通讯条件，道路和排水管道畅通；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（三）验收范围内配套建设的各项公用和生活服务设施能交付正常使用；</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（四）验收范围内已按照物业管理的有关规定委托有资质的物业企业管理。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竣工综合验收应当符合下列条件：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（一）建设项目按照批准的规划和有关专业管理及设计要求全部建成，并满足使用要求；</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（二）住宅及公共配套设施、市政公用基础设施等单项工程全部验收合格，验收资料齐全；</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（三）各类建筑物的平面位置、立面造型、装修色调等符合批准的规划设计要求；</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（四）施工机具、暂设工程、建筑残土、剩余构件全部拆除清运完毕，达到场清地平；</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仿宋_GB2312" w:hAnsi="仿宋_GB2312"/>
          <w:sz w:val="32"/>
        </w:rPr>
      </w:pPr>
      <w:r>
        <w:rPr>
          <w:rStyle w:val="C3"/>
          <w:rFonts w:ascii="Microsoft YaHei UI" w:hAnsi="Microsoft YaHei UI"/>
          <w:sz w:val="32"/>
        </w:rPr>
        <w:t>（五）被拆迁人已合理安置。</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sz w:val="32"/>
        </w:rPr>
      </w:pPr>
      <w:r>
        <w:rPr>
          <w:rStyle w:val="C3"/>
          <w:rFonts w:ascii="黑体" w:hAnsi="黑体"/>
          <w:b w:val="0"/>
          <w:sz w:val="32"/>
        </w:rPr>
        <w:t xml:space="preserve">第四章  房地产经营</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转让房地产开发项目，应当符合《中华人民共和国城市房地产管理法》第三十八条、第三十九条规定的条件和遵守国务院《城市房地产开发经营管理条例》第二十一条的规定。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尚未完成拆迁补偿安置的房地产开发项目转让时，原拆迁补偿合同中有关的权利、义务随之转让给受让人。项目转让人应当书面通知被拆迁人，并在转让合同签订之日起十日内到房屋拆迁管理部门备案。</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商品房销售包括商品房预售和商品房现售。商品房预售实行预售许可制度，商品房现售实行备案登记。</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商品房预售实行商品房预售资金监管制度，具体工作措施由西宁市人民政府规定。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房地产开发企业申请办理商品房预售登记，应当提交国务院《城市房地产开发经营管理条例》第二十三条规定的文件。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市、县住房保障房产主管部门应当自收到申请之日起十日内作出同意预售或者不同意预售的答复。同意预售的，应当核发商品房预售许可证；不同意预售的，应当书面答复说明理由。</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未取得商品房预售许可证，不得有预售行为。</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市、县住房保障房产主管部门对已核发商品房预售许可证的项目进行跟踪监督，发现有不符合预售许可的行为时，应当责令预售人限期改正。</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房地产开发企业现售商品房，应当在销售前将房地产开发项目手册及符合商品房现售条件的有关证明报送住房保障房产主管部门备案。商品房现售，应当符合以下条件：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（一）现售商品房的房地产开发企业应当具有企业法人营业执照和房地产开发企业资质证书；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（二）取得土地使用权证书或者使用土地的批准文件、建设工程规划许可证和施工许可证；</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（三）已通过竣工验收；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（四）有资质的房屋面积测绘机构出具的商品房面积测绘成果报告书；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（五）供水、供电、供热、燃气、通讯等配套基础设施具备交付使用条件，其他配套基础设施和公共设施具备交付使用条件或者已确定施工进度和交付日期。</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房地产开发企业可以自行销售商品房，也可以委托房屋中介服务机构代理销售商品房。委托房屋中介服务机构代理销售商品房的，应当签订商品房销售委托合同。</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房地产开发企业销售商品房时，应当向买受人出示商品房预售许可证或者现房销售备案登记证明，委托销售的还应当出示销售委托合同。</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房地产开发企业及代理销售机构不得进行虚假广告宣传。商品房销售广告中对房产状况的说明、示意应当真实准确，并载明商品房预售许可证或者现房销售备案登记号。</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未取得商品房预售许可证或者现房销售备案登记证明的，不得做任何形式的商品房销售广告宣传。</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商品房销售可以按套（单元）计价，也可以按套内建筑面积或者建筑面积计价。</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计算商品房面积应当执行国家房产测量规范标准，商品房交付的面积应当以面积测绘成果报告书认定的面积为准。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房屋套内建筑面积或者建筑面积与商品房买卖合同约定面积不符，合同有约定的，从其约定；合同没有约定或者约定不明确的，按照国家有关规定处理。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房地产开发项目转让和商品房销售价格由当事人协商议定。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享受国家优惠政策的居民住宅，应当按照政府规定的价格和对象进行销售。具体办法由西宁市人民政府制定。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商品房销售应当订立书面合同，合同应当载明商品房的建筑面积、使用面积、公摊面积、价格、交付日期、质量要求、前期物业管理方式以及双方违约责任等。</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商品房销售推行商品房买卖合同示范文本。</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不符合商品房销售条件的，房地产开发企业不得销售商品房，不得向买受人收取任何预订款性质的费用。</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商品房销售条件的，房地产开发企业在订立商品房买卖合同之前向买受人收取预订款性质费用的，订立商品房买卖合同时，所收费用应当抵作房价款；当事人未能订立商品房买卖合同的，所收费用应当向买受人返还；当事人之间另有约定的，从其约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房地产开发企业应当在商品房买卖合同签订之日起三十日内持商品房买卖合同到房屋所在地住房保障房产主管部门备案。</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已经预售的商品房，房地产开发企业因特殊原因需要变更商品房销售合同内容的，应当征得买受人的同意，并将预售合同变更协议报住房保障房产主管部门备案。</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房地产开发企业应当在商品房交付使用时，向买受人提供住宅质量保证书和住宅使用说明书。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45" w:left="0" w:right="0"/>
        <w:jc w:val="left"/>
        <w:rPr>
          <w:rStyle w:val="C3"/>
          <w:rFonts w:ascii="黑体" w:hAnsi="黑体"/>
          <w:sz w:val="32"/>
        </w:rPr>
      </w:pPr>
      <w:r>
        <w:rPr>
          <w:rStyle w:val="C3"/>
          <w:rFonts w:ascii="Microsoft YaHei UI" w:hAnsi="Microsoft YaHei UI"/>
          <w:sz w:val="32"/>
        </w:rPr>
        <w:t>房地产开发企业应当按照住宅质量保证书的约定，承担商品房保修责任。保修期内，因房地产开发企业对商品房进行维修，致使房屋原功能受到影响，给购买人造成损失的，应当依法承担赔偿责任。</w:t>
      </w:r>
    </w:p>
    <w:p>
      <w:pPr>
        <w:pStyle w:val="P1"/>
        <w:keepNext w:val="0"/>
        <w:keepLines w:val="0"/>
        <w:widowControl w:val="0"/>
        <w:suppressLineNumbers w:val="0"/>
        <w:spacing w:before="0" w:after="0" w:beforeAutospacing="0" w:afterAutospacing="0"/>
        <w:ind w:firstLine="645"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sz w:val="32"/>
        </w:rPr>
      </w:pPr>
      <w:r>
        <w:rPr>
          <w:rStyle w:val="C3"/>
          <w:rFonts w:ascii="黑体" w:hAnsi="黑体"/>
          <w:b w:val="0"/>
          <w:sz w:val="32"/>
        </w:rPr>
        <w:t xml:space="preserve">第五章  法律责任</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对违反本条例规定的行为，法律、法规已有处罚规定的，从其规定。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负责工程质量监督或者参与竣工验收的部门及其工作人员对不合格的房地产开发项目出具质量合格文件或者按照合格工程验收的，由上级机关责令改正，对责任人员给予处分；构成犯罪的，依法追究刑事责任。</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有关主管部门及其工作人员在房地产开发经营监督管理工作中，违反本条例规定，有下列行为之一的，根据情节轻重，依法给予处分；构成犯罪的，依法追究刑事责任：</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仿宋_GB2312" w:hAnsi="仿宋_GB2312"/>
          <w:sz w:val="32"/>
        </w:rPr>
      </w:pPr>
      <w:r>
        <w:rPr>
          <w:rStyle w:val="C3"/>
          <w:rFonts w:ascii="Microsoft YaHei UI" w:hAnsi="Microsoft YaHei UI"/>
          <w:sz w:val="32"/>
        </w:rPr>
        <w:t>（一）对房地产开发企业未按照规定核发暂定资质证书的；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（二）向不具备商品房预售条件的房地产开发企业发放商品房预售许可证明的；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（三）没有法律法规依据，向房地产开发企业收费的；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（四）因未依法履行监督职责造成严重后果的；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仿宋_GB2312" w:hAnsi="仿宋_GB2312"/>
          <w:sz w:val="32"/>
        </w:rPr>
      </w:pPr>
      <w:r>
        <w:rPr>
          <w:rStyle w:val="C3"/>
          <w:rFonts w:ascii="Microsoft YaHei UI" w:hAnsi="Microsoft YaHei UI"/>
          <w:sz w:val="32"/>
        </w:rPr>
        <w:t>（五）其他滥用职权、徇私舞弊、玩忽职守的。</w:t>
      </w:r>
    </w:p>
    <w:p>
      <w:pPr>
        <w:pStyle w:val="P1"/>
        <w:keepNext w:val="0"/>
        <w:keepLines w:val="0"/>
        <w:widowControl w:val="0"/>
        <w:suppressLineNumbers w:val="0"/>
        <w:spacing w:before="0" w:after="0" w:beforeAutospacing="0" w:afterAutospacing="0"/>
        <w:ind w:firstLine="630"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sz w:val="32"/>
        </w:rPr>
      </w:pPr>
      <w:r>
        <w:rPr>
          <w:rStyle w:val="C3"/>
          <w:rFonts w:ascii="黑体" w:hAnsi="黑体"/>
          <w:b w:val="0"/>
          <w:sz w:val="32"/>
        </w:rPr>
        <w:t xml:space="preserve">第六章  附则</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firstLine="630" w:left="0" w:right="0"/>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before="0" w:after="0" w:beforeAutospacing="0" w:afterAutospacing="0"/>
      <w:ind w:firstLine="420" w:left="0" w:right="0"/>
      <w:jc w:val="center"/>
    </w:pPr>
    <w:rPr>
      <w:rFonts w:ascii="Calibri" w:hAnsi="Calibri"/>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2021-06-01T16:14:00Z</dcterms:created>
  <cp:lastModifiedBy>f1TZOF\f1TZOF-</cp:lastModifiedBy>
  <dcterms:modified xsi:type="dcterms:W3CDTF">2024-08-28T01:35:07Z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