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30E367" Type="http://schemas.openxmlformats.org/officeDocument/2006/relationships/officeDocument" Target="/word/document.xml" /><Relationship Id="coreR3830E367" Type="http://schemas.openxmlformats.org/package/2006/relationships/metadata/core-properties" Target="/docProps/core.xml" /><Relationship Id="customR3830E3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贵港市太平天国金田起义遗址</w:t>
      </w:r>
    </w:p>
    <w:p>
      <w:pPr>
        <w:pStyle w:val="P1"/>
        <w:spacing w:lineRule="exact" w:line="560"/>
        <w:jc w:val="center"/>
        <w:rPr>
          <w:rStyle w:val="C3"/>
          <w:rFonts w:ascii="宋体" w:hAnsi="宋体"/>
          <w:sz w:val="32"/>
        </w:rPr>
      </w:pPr>
      <w:r>
        <w:rPr>
          <w:rStyle w:val="C3"/>
          <w:rFonts w:ascii="宋体" w:hAnsi="宋体"/>
          <w:sz w:val="44"/>
        </w:rPr>
        <w:t>保护条例</w:t>
      </w:r>
    </w:p>
    <w:p>
      <w:pPr>
        <w:pStyle w:val="P1"/>
        <w:spacing w:lineRule="exact" w:line="560"/>
        <w:jc w:val="center"/>
        <w:rPr>
          <w:rStyle w:val="C3"/>
          <w:rFonts w:ascii="方正小标宋简体" w:hAnsi="方正小标宋简体"/>
          <w:sz w:val="44"/>
        </w:rPr>
      </w:pPr>
    </w:p>
    <w:p>
      <w:pPr>
        <w:pStyle w:val="P1"/>
        <w:keepNext w:val="0"/>
        <w:keepLines w:val="0"/>
        <w:widowControl w:val="0"/>
        <w:spacing w:lineRule="exact" w:line="560"/>
        <w:ind w:left="622" w:right="622"/>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日贵港市第五届人民代表大会常务委员会第九次会议通过</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日广西壮族自治区第十二届人民代表大会常务委员会第三十一次会议批准）</w:t>
      </w:r>
    </w:p>
    <w:p>
      <w:pPr>
        <w:pStyle w:val="P1"/>
        <w:shd w:val="clear" w:fill="FFFFFF"/>
        <w:spacing w:lineRule="exact" w:line="560"/>
        <w:jc w:val="both"/>
        <w:rPr>
          <w:rStyle w:val="C3"/>
          <w:rFonts w:ascii="方正大标宋简体" w:hAnsi="方正大标宋简体"/>
          <w:sz w:val="44"/>
        </w:rPr>
      </w:pPr>
    </w:p>
    <w:p>
      <w:pPr>
        <w:pStyle w:val="P1"/>
        <w:shd w:val="clear" w:fill="FFFFFF"/>
        <w:spacing w:lineRule="exact" w:line="560"/>
        <w:jc w:val="center"/>
        <w:rPr>
          <w:rStyle w:val="C3"/>
          <w:rFonts w:ascii="仿宋_GB2312" w:hAnsi="仿宋_GB2312"/>
          <w:b w:val="0"/>
          <w:sz w:val="32"/>
        </w:rPr>
      </w:pPr>
      <w:r>
        <w:rPr>
          <w:rStyle w:val="C3"/>
          <w:rFonts w:ascii="Microsoft YaHei UI" w:hAnsi="Microsoft YaHei UI"/>
          <w:b w:val="0"/>
          <w:sz w:val="32"/>
        </w:rPr>
        <w:t>目</w:t>
      </w:r>
      <w:r>
        <w:rPr>
          <w:rStyle w:val="C3"/>
          <w:rFonts w:ascii="仿宋_GB2312" w:hAnsi="仿宋_GB2312"/>
          <w:b w:val="0"/>
          <w:sz w:val="32"/>
        </w:rPr>
        <w:t xml:space="preserve">  </w:t>
      </w:r>
      <w:r>
        <w:rPr>
          <w:rStyle w:val="C3"/>
          <w:rFonts w:ascii="Microsoft YaHei UI" w:hAnsi="Microsoft YaHei UI"/>
          <w:b w:val="0"/>
          <w:sz w:val="32"/>
        </w:rPr>
        <w:t>录</w:t>
      </w:r>
    </w:p>
    <w:p>
      <w:pPr>
        <w:pStyle w:val="P1"/>
        <w:shd w:val="clear" w:fill="FFFFFF"/>
        <w:spacing w:lineRule="exact" w:line="560"/>
        <w:rPr>
          <w:rStyle w:val="C3"/>
          <w:rFonts w:ascii="仿宋_GB2312" w:hAnsi="仿宋_GB2312"/>
          <w:b w:val="0"/>
          <w:sz w:val="32"/>
        </w:rPr>
      </w:pPr>
      <w:r>
        <w:rPr>
          <w:rStyle w:val="C3"/>
          <w:rFonts w:ascii="Microsoft YaHei UI" w:hAnsi="Microsoft YaHei UI"/>
          <w:b w:val="0"/>
          <w:sz w:val="32"/>
        </w:rPr>
        <w:t>　　</w:t>
      </w:r>
    </w:p>
    <w:p>
      <w:pPr>
        <w:pStyle w:val="P1"/>
        <w:shd w:val="clear" w:fill="FFFFFF"/>
        <w:spacing w:lineRule="exact" w:line="560"/>
        <w:ind w:firstLine="842"/>
        <w:rPr>
          <w:rStyle w:val="C3"/>
          <w:rFonts w:ascii="仿宋_GB2312" w:hAnsi="仿宋_GB2312"/>
          <w:b w:val="0"/>
          <w:color w:val="000000"/>
          <w:sz w:val="32"/>
        </w:rPr>
      </w:pPr>
      <w:r>
        <w:rPr>
          <w:rStyle w:val="C3"/>
          <w:rFonts w:ascii="Microsoft YaHei UI" w:hAnsi="Microsoft YaHei UI"/>
          <w:b w:val="0"/>
          <w:color w:val="000000"/>
          <w:sz w:val="32"/>
        </w:rPr>
        <w:t>第一章</w:t>
      </w:r>
      <w:r>
        <w:rPr>
          <w:rStyle w:val="C3"/>
          <w:rFonts w:ascii="仿宋_GB2312" w:hAnsi="仿宋_GB2312"/>
          <w:b w:val="0"/>
          <w:color w:val="000000"/>
          <w:sz w:val="32"/>
        </w:rPr>
        <w:t xml:space="preserve">  </w:t>
      </w:r>
      <w:r>
        <w:rPr>
          <w:rStyle w:val="C3"/>
          <w:rFonts w:ascii="Microsoft YaHei UI" w:hAnsi="Microsoft YaHei UI"/>
          <w:b w:val="0"/>
          <w:color w:val="000000"/>
          <w:sz w:val="32"/>
        </w:rPr>
        <w:t>总则</w:t>
      </w:r>
    </w:p>
    <w:p>
      <w:pPr>
        <w:pStyle w:val="P1"/>
        <w:shd w:val="clear" w:fill="FFFFFF"/>
        <w:spacing w:lineRule="exact" w:line="560"/>
        <w:ind w:firstLine="842"/>
        <w:rPr>
          <w:rStyle w:val="C3"/>
          <w:rFonts w:ascii="仿宋_GB2312" w:hAnsi="仿宋_GB2312"/>
          <w:b w:val="0"/>
          <w:color w:val="000000"/>
          <w:sz w:val="32"/>
        </w:rPr>
      </w:pPr>
      <w:r>
        <w:rPr>
          <w:rStyle w:val="C3"/>
          <w:rFonts w:ascii="Microsoft YaHei UI" w:hAnsi="Microsoft YaHei UI"/>
          <w:b w:val="0"/>
          <w:color w:val="000000"/>
          <w:sz w:val="32"/>
        </w:rPr>
        <w:t>第二章</w:t>
      </w:r>
      <w:r>
        <w:rPr>
          <w:rStyle w:val="C3"/>
          <w:rFonts w:ascii="仿宋_GB2312" w:hAnsi="仿宋_GB2312"/>
          <w:b w:val="0"/>
          <w:color w:val="000000"/>
          <w:sz w:val="32"/>
        </w:rPr>
        <w:t xml:space="preserve">  </w:t>
      </w:r>
      <w:r>
        <w:rPr>
          <w:rStyle w:val="C3"/>
          <w:rFonts w:ascii="Microsoft YaHei UI" w:hAnsi="Microsoft YaHei UI"/>
          <w:b w:val="0"/>
          <w:color w:val="000000"/>
          <w:sz w:val="32"/>
        </w:rPr>
        <w:t>保护管理</w:t>
      </w:r>
    </w:p>
    <w:p>
      <w:pPr>
        <w:pStyle w:val="P1"/>
        <w:shd w:val="clear" w:fill="FFFFFF"/>
        <w:spacing w:lineRule="exact" w:line="560"/>
        <w:ind w:firstLine="842"/>
        <w:rPr>
          <w:rStyle w:val="C3"/>
          <w:rFonts w:ascii="仿宋_GB2312" w:hAnsi="仿宋_GB2312"/>
          <w:b w:val="0"/>
          <w:color w:val="000000"/>
          <w:sz w:val="32"/>
        </w:rPr>
      </w:pPr>
      <w:r>
        <w:rPr>
          <w:rStyle w:val="C3"/>
          <w:rFonts w:ascii="Microsoft YaHei UI" w:hAnsi="Microsoft YaHei UI"/>
          <w:b w:val="0"/>
          <w:color w:val="000000"/>
          <w:sz w:val="32"/>
        </w:rPr>
        <w:t>第三章</w:t>
      </w:r>
      <w:r>
        <w:rPr>
          <w:rStyle w:val="C3"/>
          <w:rFonts w:ascii="仿宋_GB2312" w:hAnsi="仿宋_GB2312"/>
          <w:b w:val="0"/>
          <w:color w:val="000000"/>
          <w:sz w:val="32"/>
        </w:rPr>
        <w:t xml:space="preserve">  </w:t>
      </w:r>
      <w:r>
        <w:rPr>
          <w:rStyle w:val="C3"/>
          <w:rFonts w:ascii="Microsoft YaHei UI" w:hAnsi="Microsoft YaHei UI"/>
          <w:b w:val="0"/>
          <w:color w:val="000000"/>
          <w:sz w:val="32"/>
        </w:rPr>
        <w:t>合理利用</w:t>
      </w:r>
    </w:p>
    <w:p>
      <w:pPr>
        <w:pStyle w:val="P1"/>
        <w:shd w:val="clear" w:fill="FFFFFF"/>
        <w:spacing w:lineRule="exact" w:line="560"/>
        <w:ind w:firstLine="842"/>
        <w:rPr>
          <w:rStyle w:val="C3"/>
          <w:rFonts w:ascii="仿宋_GB2312" w:hAnsi="仿宋_GB2312"/>
          <w:b w:val="0"/>
          <w:color w:val="000000"/>
          <w:sz w:val="32"/>
        </w:rPr>
      </w:pPr>
      <w:r>
        <w:rPr>
          <w:rStyle w:val="C3"/>
          <w:rFonts w:ascii="Microsoft YaHei UI" w:hAnsi="Microsoft YaHei UI"/>
          <w:b w:val="0"/>
          <w:color w:val="000000"/>
          <w:sz w:val="32"/>
        </w:rPr>
        <w:t>第四章</w:t>
      </w:r>
      <w:r>
        <w:rPr>
          <w:rStyle w:val="C3"/>
          <w:rFonts w:ascii="仿宋_GB2312" w:hAnsi="仿宋_GB2312"/>
          <w:b w:val="0"/>
          <w:color w:val="000000"/>
          <w:sz w:val="32"/>
        </w:rPr>
        <w:t xml:space="preserve">  </w:t>
      </w:r>
      <w:r>
        <w:rPr>
          <w:rStyle w:val="C3"/>
          <w:rFonts w:ascii="Microsoft YaHei UI" w:hAnsi="Microsoft YaHei UI"/>
          <w:b w:val="0"/>
          <w:color w:val="000000"/>
          <w:sz w:val="32"/>
        </w:rPr>
        <w:t>法律责任</w:t>
      </w:r>
    </w:p>
    <w:p>
      <w:pPr>
        <w:pStyle w:val="P1"/>
        <w:shd w:val="clear" w:fill="FFFFFF"/>
        <w:spacing w:lineRule="exact" w:line="560"/>
        <w:ind w:firstLine="842"/>
        <w:rPr>
          <w:rStyle w:val="C3"/>
          <w:rFonts w:ascii="仿宋_GB2312" w:hAnsi="仿宋_GB2312"/>
          <w:b w:val="0"/>
          <w:color w:val="000000"/>
          <w:sz w:val="32"/>
        </w:rPr>
      </w:pPr>
      <w:r>
        <w:rPr>
          <w:rStyle w:val="C3"/>
          <w:rFonts w:ascii="Microsoft YaHei UI" w:hAnsi="Microsoft YaHei UI"/>
          <w:b w:val="0"/>
          <w:color w:val="000000"/>
          <w:sz w:val="32"/>
        </w:rPr>
        <w:t>第五章</w:t>
      </w:r>
      <w:r>
        <w:rPr>
          <w:rStyle w:val="C3"/>
          <w:rFonts w:ascii="仿宋_GB2312" w:hAnsi="仿宋_GB2312"/>
          <w:b w:val="0"/>
          <w:color w:val="000000"/>
          <w:sz w:val="32"/>
        </w:rPr>
        <w:t xml:space="preserve">  </w:t>
      </w:r>
      <w:r>
        <w:rPr>
          <w:rStyle w:val="C3"/>
          <w:rFonts w:ascii="Microsoft YaHei UI" w:hAnsi="Microsoft YaHei UI"/>
          <w:b w:val="0"/>
          <w:color w:val="000000"/>
          <w:sz w:val="32"/>
        </w:rPr>
        <w:t>附则</w:t>
      </w:r>
    </w:p>
    <w:p>
      <w:pPr>
        <w:pStyle w:val="P1"/>
        <w:shd w:val="clear" w:fill="FFFFFF"/>
        <w:spacing w:lineRule="exact" w:line="560"/>
        <w:ind w:firstLine="842"/>
        <w:rPr>
          <w:rStyle w:val="C3"/>
          <w:rFonts w:ascii="仿宋_GB2312" w:hAnsi="仿宋_GB2312"/>
          <w:color w:val="000000"/>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842"/>
        <w:rPr>
          <w:rStyle w:val="C3"/>
          <w:rFonts w:ascii="仿宋_GB2312" w:hAnsi="仿宋_GB2312"/>
          <w:sz w:val="32"/>
        </w:rPr>
      </w:pPr>
    </w:p>
    <w:p>
      <w:pPr>
        <w:pStyle w:val="P1"/>
        <w:spacing w:lineRule="exact" w:line="560"/>
        <w:ind w:firstLine="84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太平天国金田起义遗址（以下简称金田起义遗址）的有效保护和合理利用，继承和弘扬优秀的历史文化，根据《中华人民共和国文物保护法》和《广西壮族自治区文物保护条例》等有关法律法规，制定本条例。</w:t>
      </w:r>
    </w:p>
    <w:p>
      <w:pPr>
        <w:pStyle w:val="P1"/>
        <w:spacing w:lineRule="exact" w:line="560"/>
        <w:ind w:firstLine="84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本市行政区域内金田起义遗址的保护、管理和利用等活动，适用本条例。</w:t>
      </w:r>
    </w:p>
    <w:p>
      <w:pPr>
        <w:pStyle w:val="P1"/>
        <w:spacing w:lineRule="exact" w:line="560"/>
        <w:ind w:firstLine="84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本条例所称的金田起义遗址包括：</w:t>
      </w:r>
    </w:p>
    <w:p>
      <w:pPr>
        <w:pStyle w:val="P1"/>
        <w:spacing w:lineRule="exact" w:line="560"/>
        <w:ind w:firstLine="842"/>
        <w:rPr>
          <w:rStyle w:val="C3"/>
          <w:rFonts w:ascii="仿宋_GB2312" w:hAnsi="仿宋_GB2312"/>
          <w:sz w:val="32"/>
        </w:rPr>
      </w:pPr>
      <w:r>
        <w:rPr>
          <w:rStyle w:val="C3"/>
          <w:rFonts w:ascii="Microsoft YaHei UI" w:hAnsi="Microsoft YaHei UI"/>
          <w:sz w:val="32"/>
        </w:rPr>
        <w:t>（一）全国重点文物保护单位：太平天国金田起义地址营盘。</w:t>
      </w:r>
    </w:p>
    <w:p>
      <w:pPr>
        <w:pStyle w:val="P1"/>
        <w:spacing w:lineRule="exact" w:line="560"/>
        <w:ind w:firstLine="842"/>
        <w:rPr>
          <w:rStyle w:val="C3"/>
          <w:rFonts w:ascii="仿宋_GB2312" w:hAnsi="仿宋_GB2312"/>
          <w:sz w:val="32"/>
        </w:rPr>
      </w:pPr>
      <w:r>
        <w:rPr>
          <w:rStyle w:val="C3"/>
          <w:rFonts w:ascii="Microsoft YaHei UI" w:hAnsi="Microsoft YaHei UI"/>
          <w:sz w:val="32"/>
        </w:rPr>
        <w:t>（二）自治区级文物保护单位：三界庙太平军前军指挥所。</w:t>
      </w:r>
    </w:p>
    <w:p>
      <w:pPr>
        <w:pStyle w:val="P1"/>
        <w:spacing w:lineRule="exact" w:line="560"/>
        <w:ind w:firstLine="842"/>
        <w:rPr>
          <w:rStyle w:val="C3"/>
          <w:rFonts w:ascii="仿宋_GB2312" w:hAnsi="仿宋_GB2312"/>
          <w:sz w:val="32"/>
        </w:rPr>
      </w:pPr>
      <w:r>
        <w:rPr>
          <w:rStyle w:val="C3"/>
          <w:rFonts w:ascii="仿宋" w:hAnsi="仿宋"/>
          <w:sz w:val="32"/>
        </w:rPr>
        <w:t>（三）</w:t>
      </w:r>
      <w:r>
        <w:rPr>
          <w:rStyle w:val="C3"/>
          <w:rFonts w:ascii="Microsoft YaHei UI" w:hAnsi="Microsoft YaHei UI"/>
          <w:sz w:val="32"/>
        </w:rPr>
        <w:t>市、县级文物保护单位：庆丰镇赐谷村洪秀全活动遗址、奇石乡石达开故居遗址、金田镇韦昌辉故居遗址、金田镇莫村太平军总部遗址、金田镇古林社冯云山住地遗址、金田镇风门坳金田起义古战场遗址、紫荆镇紫荆茶地太平军总部遗址、江口镇石头脚太平军行营指挥部遗址、马练乡山人村洪秀全住地遗址、官成镇罗文村胡以晄旧居、同和镇大旺圩洪秀全舟中诏发布遗址、国安乡太平军上帝坪团营和打武器遗址、平南镇平田村林绍璋故居遗址、大鹏镇大山村蒙得恩故居遗址。</w:t>
      </w:r>
    </w:p>
    <w:p>
      <w:pPr>
        <w:pStyle w:val="P1"/>
        <w:spacing w:lineRule="exact" w:line="560"/>
        <w:ind w:firstLine="842"/>
        <w:rPr>
          <w:rStyle w:val="C3"/>
          <w:rFonts w:ascii="仿宋_GB2312" w:hAnsi="仿宋_GB2312"/>
          <w:sz w:val="32"/>
        </w:rPr>
      </w:pPr>
      <w:r>
        <w:rPr>
          <w:rStyle w:val="C3"/>
          <w:rFonts w:ascii="Microsoft YaHei UI" w:hAnsi="Microsoft YaHei UI"/>
          <w:sz w:val="32"/>
        </w:rPr>
        <w:t>（四）尚未核定公布为文物保护单位的不可移动文物：紫荆镇杨秀清故居遗址、金田镇屈甲洲战场遗址、思旺镇迎主之战古战场遗址、思旺镇六桂战场遗址、官成镇官村大捷古战场遗址、大鹏镇紫微团营集中遗址、大鹏镇河头拜旗坪遗址、国安乡花洲团营总部遗址、马练乡北胜打铁坪遗址、马练乡中胜坪拜旗遗址。</w:t>
      </w:r>
    </w:p>
    <w:p>
      <w:pPr>
        <w:pStyle w:val="P1"/>
        <w:spacing w:lineRule="exact" w:line="560"/>
        <w:ind w:firstLine="842"/>
        <w:rPr>
          <w:rStyle w:val="C3"/>
          <w:rFonts w:ascii="仿宋_GB2312" w:hAnsi="仿宋_GB2312"/>
          <w:sz w:val="32"/>
        </w:rPr>
      </w:pPr>
      <w:r>
        <w:rPr>
          <w:rStyle w:val="C3"/>
          <w:rFonts w:ascii="Microsoft YaHei UI" w:hAnsi="Microsoft YaHei UI"/>
          <w:sz w:val="32"/>
        </w:rPr>
        <w:t>（五）其他经县级以上文物行政部门认定并报本级人民政府公布的金田起义遗址。</w:t>
      </w:r>
    </w:p>
    <w:p>
      <w:pPr>
        <w:pStyle w:val="P1"/>
        <w:spacing w:lineRule="exact" w:line="560"/>
        <w:ind w:firstLine="84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金田起义遗址保护工作应当遵循保护为主、分级管理和合理利用的原则。</w:t>
      </w:r>
    </w:p>
    <w:p>
      <w:pPr>
        <w:pStyle w:val="P1"/>
        <w:spacing w:lineRule="exact" w:line="560"/>
        <w:ind w:firstLine="84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市人民政府应当加强对金田起义遗址保护工作的领导，建立保护协调机制。</w:t>
      </w:r>
    </w:p>
    <w:p>
      <w:pPr>
        <w:pStyle w:val="P1"/>
        <w:spacing w:lineRule="exact" w:line="560"/>
        <w:ind w:firstLine="842"/>
        <w:rPr>
          <w:rStyle w:val="C3"/>
          <w:rFonts w:ascii="仿宋_GB2312" w:hAnsi="仿宋_GB2312"/>
          <w:sz w:val="32"/>
        </w:rPr>
      </w:pPr>
      <w:r>
        <w:rPr>
          <w:rStyle w:val="C3"/>
          <w:rFonts w:ascii="Microsoft YaHei UI" w:hAnsi="Microsoft YaHei UI"/>
          <w:sz w:val="32"/>
        </w:rPr>
        <w:t>县级人民政府负责本行政区域内的金田起义遗址保护工作并将保护所需经费列入本级预算。</w:t>
      </w:r>
    </w:p>
    <w:p>
      <w:pPr>
        <w:pStyle w:val="P1"/>
        <w:spacing w:lineRule="exact" w:line="560"/>
        <w:ind w:firstLine="842"/>
        <w:rPr>
          <w:rStyle w:val="C3"/>
          <w:rFonts w:ascii="仿宋_GB2312" w:hAnsi="仿宋_GB2312"/>
          <w:sz w:val="32"/>
        </w:rPr>
      </w:pPr>
      <w:r>
        <w:rPr>
          <w:rStyle w:val="C3"/>
          <w:rFonts w:ascii="Microsoft YaHei UI" w:hAnsi="Microsoft YaHei UI"/>
          <w:sz w:val="32"/>
        </w:rPr>
        <w:t>金田起义遗址所在地的乡镇人民政府应当在职责范围内做好保护工作。</w:t>
      </w:r>
    </w:p>
    <w:p>
      <w:pPr>
        <w:pStyle w:val="P1"/>
        <w:spacing w:lineRule="exact" w:line="560"/>
        <w:ind w:firstLine="842"/>
        <w:rPr>
          <w:rStyle w:val="C3"/>
          <w:rFonts w:ascii="仿宋_GB2312" w:hAnsi="仿宋_GB2312"/>
          <w:sz w:val="32"/>
        </w:rPr>
      </w:pPr>
      <w:r>
        <w:rPr>
          <w:rStyle w:val="C3"/>
          <w:rFonts w:ascii="Microsoft YaHei UI" w:hAnsi="Microsoft YaHei UI"/>
          <w:sz w:val="32"/>
        </w:rPr>
        <w:t>金田起义遗址所在地的村（居）民委员会协助人民政府及其有关部门做好保护工作。</w:t>
      </w:r>
    </w:p>
    <w:p>
      <w:pPr>
        <w:pStyle w:val="P1"/>
        <w:spacing w:lineRule="exact" w:line="560"/>
        <w:ind w:firstLine="84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市文物行政部门负责对金田起义遗址保护工作的指导、协调、监督。县级文物行政部门具体负责本行政区域内金田起义遗址保护、管理、监督工作。</w:t>
      </w:r>
    </w:p>
    <w:p>
      <w:pPr>
        <w:pStyle w:val="P1"/>
        <w:spacing w:lineRule="exact" w:line="560"/>
        <w:ind w:firstLine="842"/>
        <w:rPr>
          <w:rStyle w:val="C3"/>
          <w:rFonts w:ascii="仿宋_GB2312" w:hAnsi="仿宋_GB2312"/>
          <w:sz w:val="32"/>
        </w:rPr>
      </w:pPr>
      <w:r>
        <w:rPr>
          <w:rStyle w:val="C3"/>
          <w:rFonts w:ascii="Microsoft YaHei UI" w:hAnsi="Microsoft YaHei UI"/>
          <w:sz w:val="32"/>
        </w:rPr>
        <w:t>市、县级发改、财政、住建、公安、教育、工商、市政、环保、物价、国土、旅游等相关部门在各自职责范围内做好金田起义遗址保护工作。</w:t>
      </w:r>
    </w:p>
    <w:p>
      <w:pPr>
        <w:pStyle w:val="P1"/>
        <w:spacing w:lineRule="exact" w:line="560"/>
        <w:ind w:firstLine="84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县级文物行政部门根据需要指定有关管理机构或者专门人员负责本行政区域内金田起义遗址的日常保护和管理工作。</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金田起义遗址管理机构应当履行以下职责：</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（一）做好保养、维护、修缮工作；</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（二）建立日常巡查、检查制度，采取安全防范措施；</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（三）在巡查、检查中发现存在安全隐患的，及时采取相应处置措施，同时向县级文物行政部门报告；</w:t>
      </w:r>
    </w:p>
    <w:p>
      <w:pPr>
        <w:pStyle w:val="P1"/>
        <w:spacing w:lineRule="exact" w:line="560"/>
        <w:ind w:firstLine="842"/>
        <w:rPr>
          <w:rStyle w:val="C3"/>
          <w:rFonts w:ascii="仿宋_GB2312" w:hAnsi="仿宋_GB2312"/>
          <w:sz w:val="32"/>
        </w:rPr>
      </w:pPr>
      <w:r>
        <w:rPr>
          <w:rStyle w:val="C3"/>
          <w:rFonts w:ascii="Microsoft YaHei UI" w:hAnsi="Microsoft YaHei UI"/>
          <w:color w:val="000000"/>
          <w:sz w:val="32"/>
        </w:rPr>
        <w:t>（四）在保护范围内安装必要的安全防护设施，并保持正常使用。</w:t>
      </w:r>
    </w:p>
    <w:p>
      <w:pPr>
        <w:pStyle w:val="P1"/>
        <w:spacing w:lineRule="exact" w:line="560"/>
        <w:ind w:firstLine="84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公民、法人和其他组织有依法保护金田起义遗址的义务，有制止和举报破坏金田起义遗址行为的权利。</w:t>
      </w:r>
    </w:p>
    <w:p>
      <w:pPr>
        <w:pStyle w:val="P1"/>
        <w:spacing w:lineRule="exact" w:line="560"/>
        <w:ind w:firstLine="842"/>
        <w:rPr>
          <w:rStyle w:val="C3"/>
          <w:rFonts w:ascii="仿宋_GB2312" w:hAnsi="仿宋_GB2312"/>
          <w:sz w:val="32"/>
        </w:rPr>
      </w:pPr>
      <w:r>
        <w:rPr>
          <w:rStyle w:val="C3"/>
          <w:rFonts w:ascii="Microsoft YaHei UI" w:hAnsi="Microsoft YaHei UI"/>
          <w:sz w:val="32"/>
        </w:rPr>
        <w:t>县级文物行政部门应当建立意见征集制度和举报制度，公布征集和举报方式，对收到的意见、建议和举报及时受理。</w:t>
      </w:r>
    </w:p>
    <w:p>
      <w:pPr>
        <w:pStyle w:val="P1"/>
        <w:spacing w:lineRule="exact" w:line="560"/>
        <w:ind w:firstLine="842"/>
        <w:rPr>
          <w:rStyle w:val="C3"/>
          <w:rFonts w:ascii="仿宋_GB2312" w:hAnsi="仿宋_GB2312"/>
          <w:b w:val="1"/>
          <w:color w:val="FF0000"/>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市、县级人民政府应当加强区域间的联系与合作，市、县级文物行政部门应当加强同有关科研单位和相关组织的交流与合作，吸取先进保护管理经验，提高金田起义遗址保护的科学技术水平。</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保护管理</w:t>
      </w:r>
    </w:p>
    <w:p>
      <w:pPr>
        <w:pStyle w:val="P1"/>
        <w:spacing w:lineRule="exact" w:line="560"/>
        <w:rPr>
          <w:rStyle w:val="C3"/>
          <w:rFonts w:ascii="仿宋_GB2312" w:hAnsi="仿宋_GB2312"/>
          <w:color w:val="000000"/>
          <w:sz w:val="32"/>
        </w:rPr>
      </w:pP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市人民政府组织编制市本级金田起义遗址保护规划，并依法报批、公布。</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桂平市、平南县人民政府组织编制本行政区域内金田起义遗址保护规划，并依法报批、公布。</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金田起义遗址保护规划经批准公布后，应当严格执行，不得擅自变更；确需变更的，应当按照规划编制程序报批。</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经核定公布为全国重点文物保护单位和自治区级文物保护单位的金田起义遗址，其保护范围和建设控制地带的划定依法执行。</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经核定公布为市、县级文物保护单位的金田起义遗址，其必要的保护范围分别由市、县级文物行政部门根据金田起义遗址保护规划，会同本级的规划行政部门拟定，报本级人民政府批准公布。市、县级人民政府可以根据保护需要划定建设控制地带，报自治区人民政府批准后公布执行。</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金田起义遗址中尚未核定公布为文物保护单位的不可移动文物，参照县级文物保护单位进行保护管理，由县级文物行政部门制定保护措施并组织实施。</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县级人民政府应当在金田起义遗址设置标志碑，并根据需要设置界桩。</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在金田起义遗址保护范围内禁止下列行为：</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（一）葬坟、</w:t>
      </w:r>
      <w:r>
        <w:rPr>
          <w:rStyle w:val="C3"/>
          <w:rFonts w:ascii="Microsoft YaHei UI" w:hAnsi="Microsoft YaHei UI"/>
          <w:sz w:val="32"/>
        </w:rPr>
        <w:t>建窑、</w:t>
      </w:r>
      <w:r>
        <w:rPr>
          <w:rStyle w:val="C3"/>
          <w:rFonts w:ascii="Microsoft YaHei UI" w:hAnsi="Microsoft YaHei UI"/>
          <w:color w:val="000000"/>
          <w:sz w:val="32"/>
        </w:rPr>
        <w:t>取土、采石、</w:t>
      </w:r>
      <w:r>
        <w:rPr>
          <w:rStyle w:val="C3"/>
          <w:rFonts w:ascii="Microsoft YaHei UI" w:hAnsi="Microsoft YaHei UI"/>
          <w:sz w:val="32"/>
        </w:rPr>
        <w:t>捞沙、开矿、毁林</w:t>
      </w:r>
      <w:r>
        <w:rPr>
          <w:rStyle w:val="C3"/>
          <w:rFonts w:ascii="Microsoft YaHei UI" w:hAnsi="Microsoft YaHei UI"/>
          <w:color w:val="000000"/>
          <w:sz w:val="32"/>
        </w:rPr>
        <w:t>等改变遗址环境、地形地貌现状；</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（二）倾倒或者堆放垃圾、废弃物，排放污染物等破坏遗址环境风貌；</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（三）设置户外广告设施；</w:t>
      </w:r>
    </w:p>
    <w:p>
      <w:pPr>
        <w:pStyle w:val="P1"/>
        <w:shd w:val="clear" w:fill="FFFFFF"/>
        <w:spacing w:lineRule="exact" w:line="560"/>
        <w:ind w:firstLine="842"/>
        <w:rPr>
          <w:rStyle w:val="C3"/>
          <w:rFonts w:ascii="仿宋_GB2312" w:hAnsi="仿宋_GB2312"/>
          <w:sz w:val="32"/>
        </w:rPr>
      </w:pPr>
      <w:r>
        <w:rPr>
          <w:rStyle w:val="C3"/>
          <w:rFonts w:ascii="Microsoft YaHei UI" w:hAnsi="Microsoft YaHei UI"/>
          <w:sz w:val="32"/>
        </w:rPr>
        <w:t>（四）燃放烟花爆竹；</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（五）损毁或者擅自迁移、拆除界桩、标志碑；</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（六）在界桩、标志碑上刻划、涂污、张贴；</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（七）其他危害、破坏遗址的行为。</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在金田起义遗址保护范围内，因特殊情况确需进行工程建设的，应当符合金田起义遗址保护规划，并依法办理许可手续。</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在金田起义遗址建设控制地带内进行工程建设的，其位置、体量、高度、风格、外观、色调等应当符合金田起义遗址保护规划，不得破坏遗址的历史风貌；工程设计方案应当根据遗址的文物保护级别，经相应的文物行政部门同意后，报住建部门批准。</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县级文物行政部门应当组织制定本行政区域内金田起义遗址保养、维护、修缮的方案并组织实施。</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县级文物行政部门应当定期对金田起义遗址保护状况进行监测，提出监测评估报告，并报送本级人民政府和市文物行政部门。</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合理利用</w:t>
      </w:r>
    </w:p>
    <w:p>
      <w:pPr>
        <w:pStyle w:val="P1"/>
        <w:spacing w:lineRule="exact" w:line="560"/>
        <w:jc w:val="center"/>
        <w:rPr>
          <w:rStyle w:val="C3"/>
          <w:rFonts w:ascii="仿宋_GB2312" w:hAnsi="仿宋_GB2312"/>
          <w:sz w:val="32"/>
        </w:rPr>
      </w:pP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金田起义遗址的利用应当符合金田起义遗址保护规划，制定金田起义遗址保护预案，尊重历史、地方民俗风情，促进文化事业发展。</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鼓励公民、法人和其他组织参与金田起义遗址的合理利用，县级文物行政部门应当提供必要的信息和服务，并对金田起义遗址的合理利用进行指导。</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县级人民政府按照保护规划的要求，通过建立遗址公园、遗址陈列馆、遗址博物馆、数字博物馆、主题教育基地等方式，合理利用本行政区域内金田起义遗址，开展形式多样的爱国主义教育、观光旅游等活动。</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文物行政部门应当开展金田起义遗址历史文化价值的诠释、展示、宣传、学术研究和交流等活动，提升遗址历史文化品牌价值。</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市、县级人民政府应当把金田起义遗址纳入旅游发展规划。市、县旅游行政部门整合地方旅游资源，完善旅游设施，设计文化特色旅游线路，开发文化旅游产品，规范旅游行为。</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市、县级相关部门应当将金田起义遗址纳入城市地图、公众服务平台，设置旅游交通标志。</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在金田起义遗址保护范围及建设控制地带内从事经营活动，应当符合金田起义遗址保护规划，遵守金田起义遗址管理机构的有关规定。</w:t>
      </w:r>
    </w:p>
    <w:p>
      <w:pPr>
        <w:pStyle w:val="P1"/>
        <w:spacing w:lineRule="exact" w:line="560"/>
        <w:ind w:firstLine="842"/>
        <w:rPr>
          <w:rStyle w:val="C3"/>
          <w:rFonts w:ascii="仿宋_GB2312" w:hAnsi="仿宋_GB2312"/>
          <w:color w:val="000000"/>
          <w:sz w:val="32"/>
        </w:rPr>
      </w:pPr>
      <w:r>
        <w:rPr>
          <w:rStyle w:val="C3"/>
          <w:rFonts w:ascii="Microsoft YaHei UI" w:hAnsi="Microsoft YaHei UI"/>
          <w:color w:val="000000"/>
          <w:sz w:val="32"/>
        </w:rPr>
        <w:t>任何单位和个人不得从事危害金田起义遗址保护的经营活动。</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利用金田起义遗址举办大型活动或者拍摄电影、电视、广告，活动举办方或者影视拍摄方应当签订使用金田起义遗址安全责任书，制定金田起义遗址保护方案，落实保护措施，并接受金田起义遗址管理机构的监督和管理。</w:t>
      </w:r>
    </w:p>
    <w:p>
      <w:pPr>
        <w:pStyle w:val="P1"/>
        <w:spacing w:lineRule="exact" w:line="560"/>
        <w:ind w:firstLine="842"/>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县级人民政府鼓励研究开发与金田起义遗址相关的历史著述、小说、戏曲、电影电视、动漫游戏、休闲娱乐、体育竞技等文化创意产品，促进经济发展，丰富社会文化生活。</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jc w:val="center"/>
        <w:rPr>
          <w:rStyle w:val="C3"/>
          <w:rFonts w:ascii="仿宋_GB2312" w:hAnsi="仿宋_GB2312"/>
          <w:sz w:val="32"/>
        </w:rPr>
      </w:pPr>
    </w:p>
    <w:p>
      <w:pPr>
        <w:pStyle w:val="P1"/>
        <w:spacing w:lineRule="exact" w:line="560"/>
        <w:ind w:firstLine="84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hd w:val="clear" w:fill="FFFFFF"/>
        <w:spacing w:lineRule="exact" w:line="560"/>
        <w:ind w:firstLine="84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违反本条例第十三条第一项规定</w:t>
      </w:r>
      <w:r>
        <w:rPr>
          <w:rStyle w:val="C3"/>
          <w:rFonts w:ascii="Microsoft YaHei UI" w:hAnsi="Microsoft YaHei UI"/>
          <w:color w:val="000000"/>
          <w:sz w:val="32"/>
        </w:rPr>
        <w:t>的</w:t>
      </w:r>
      <w:r>
        <w:rPr>
          <w:rStyle w:val="C3"/>
          <w:rFonts w:ascii="Microsoft YaHei UI" w:hAnsi="Microsoft YaHei UI"/>
          <w:sz w:val="32"/>
        </w:rPr>
        <w:t>，由县级文物行政部门责令改正、恢复原貌，可以处一万元以上五万元以下罚款。</w:t>
      </w:r>
    </w:p>
    <w:p>
      <w:pPr>
        <w:pStyle w:val="P1"/>
        <w:spacing w:lineRule="exact" w:line="560"/>
        <w:ind w:firstLine="842"/>
        <w:rPr>
          <w:rStyle w:val="C3"/>
          <w:rFonts w:ascii="仿宋_GB2312" w:hAnsi="仿宋_GB2312"/>
          <w:color w:val="000000"/>
          <w:sz w:val="32"/>
        </w:rPr>
      </w:pPr>
      <w:r>
        <w:rPr>
          <w:rStyle w:val="C3"/>
          <w:rFonts w:ascii="Microsoft YaHei UI" w:hAnsi="Microsoft YaHei UI"/>
          <w:sz w:val="32"/>
        </w:rPr>
        <w:t>违反本条例第十三条第五项、第六项规定</w:t>
      </w:r>
      <w:r>
        <w:rPr>
          <w:rStyle w:val="C3"/>
          <w:rFonts w:ascii="Microsoft YaHei UI" w:hAnsi="Microsoft YaHei UI"/>
          <w:color w:val="000000"/>
          <w:sz w:val="32"/>
        </w:rPr>
        <w:t>的，</w:t>
      </w:r>
      <w:r>
        <w:rPr>
          <w:rStyle w:val="C3"/>
          <w:rFonts w:ascii="Microsoft YaHei UI" w:hAnsi="Microsoft YaHei UI"/>
          <w:sz w:val="32"/>
        </w:rPr>
        <w:t>由县级文物行政部门责令赔偿损失，处二百元以下罚款。</w:t>
      </w:r>
    </w:p>
    <w:p>
      <w:pPr>
        <w:pStyle w:val="P1"/>
        <w:spacing w:lineRule="exact" w:line="560"/>
        <w:ind w:firstLine="84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国家机关工作人员违反本条例规定，有下列情形之一的，由监察机关或者有管理权限的部门对负有责任的主管人员和其他直接责任人员给予行政处分</w:t>
      </w:r>
      <w:r>
        <w:rPr>
          <w:rStyle w:val="C3"/>
          <w:rFonts w:ascii="仿宋_GB2312" w:hAnsi="仿宋_GB2312"/>
          <w:sz w:val="32"/>
        </w:rPr>
        <w:t>:</w:t>
      </w:r>
    </w:p>
    <w:p>
      <w:pPr>
        <w:pStyle w:val="P1"/>
        <w:spacing w:lineRule="exact" w:line="560"/>
        <w:ind w:firstLine="842"/>
        <w:rPr>
          <w:rStyle w:val="C3"/>
          <w:rFonts w:ascii="仿宋_GB2312" w:hAnsi="仿宋_GB2312"/>
          <w:sz w:val="32"/>
        </w:rPr>
      </w:pPr>
      <w:r>
        <w:rPr>
          <w:rStyle w:val="C3"/>
          <w:rFonts w:ascii="Microsoft YaHei UI" w:hAnsi="Microsoft YaHei UI"/>
          <w:sz w:val="32"/>
        </w:rPr>
        <w:t>（一）不依照金田起义遗址保护总体规划和专项保护方案实施遗址保护的；</w:t>
      </w:r>
    </w:p>
    <w:p>
      <w:pPr>
        <w:pStyle w:val="P1"/>
        <w:spacing w:lineRule="exact" w:line="560"/>
        <w:ind w:firstLine="842"/>
        <w:rPr>
          <w:rStyle w:val="C3"/>
          <w:rFonts w:ascii="仿宋_GB2312" w:hAnsi="仿宋_GB2312"/>
          <w:sz w:val="32"/>
        </w:rPr>
      </w:pPr>
      <w:r>
        <w:rPr>
          <w:rStyle w:val="C3"/>
          <w:rFonts w:ascii="Microsoft YaHei UI" w:hAnsi="Microsoft YaHei UI"/>
          <w:sz w:val="32"/>
        </w:rPr>
        <w:t>（二）在金田起义遗址保护范围和建设控制地带内，违规审批工程建设许可手续的；</w:t>
      </w:r>
    </w:p>
    <w:p>
      <w:pPr>
        <w:pStyle w:val="P1"/>
        <w:spacing w:lineRule="exact" w:line="560"/>
        <w:ind w:firstLine="842"/>
        <w:rPr>
          <w:rStyle w:val="C3"/>
          <w:rFonts w:ascii="仿宋_GB2312" w:hAnsi="仿宋_GB2312"/>
          <w:sz w:val="32"/>
        </w:rPr>
      </w:pPr>
      <w:r>
        <w:rPr>
          <w:rStyle w:val="C3"/>
          <w:rFonts w:ascii="Microsoft YaHei UI" w:hAnsi="Microsoft YaHei UI"/>
          <w:sz w:val="32"/>
        </w:rPr>
        <w:t>（三）不履行巡查、检查制度和定期监测职责，造成严重后果的；</w:t>
      </w:r>
    </w:p>
    <w:p>
      <w:pPr>
        <w:pStyle w:val="P1"/>
        <w:spacing w:lineRule="exact" w:line="560"/>
        <w:ind w:firstLine="842"/>
        <w:rPr>
          <w:rStyle w:val="C3"/>
          <w:rFonts w:ascii="仿宋_GB2312" w:hAnsi="仿宋_GB2312"/>
          <w:sz w:val="32"/>
        </w:rPr>
      </w:pPr>
      <w:r>
        <w:rPr>
          <w:rStyle w:val="C3"/>
          <w:rFonts w:ascii="Microsoft YaHei UI" w:hAnsi="Microsoft YaHei UI"/>
          <w:sz w:val="32"/>
        </w:rPr>
        <w:t>（四）对破坏金田起义遗址的行为不及时进行查处的；</w:t>
      </w:r>
    </w:p>
    <w:p>
      <w:pPr>
        <w:pStyle w:val="P1"/>
        <w:spacing w:lineRule="exact" w:line="560"/>
        <w:ind w:firstLine="842"/>
        <w:rPr>
          <w:rStyle w:val="C3"/>
          <w:rFonts w:ascii="仿宋_GB2312" w:hAnsi="仿宋_GB2312"/>
          <w:sz w:val="32"/>
        </w:rPr>
      </w:pPr>
      <w:r>
        <w:rPr>
          <w:rStyle w:val="C3"/>
          <w:rFonts w:ascii="Microsoft YaHei UI" w:hAnsi="Microsoft YaHei UI"/>
          <w:sz w:val="32"/>
        </w:rPr>
        <w:t>（五）在金田起义遗址不设置标志碑的；</w:t>
      </w:r>
    </w:p>
    <w:p>
      <w:pPr>
        <w:pStyle w:val="P1"/>
        <w:spacing w:lineRule="exact" w:line="560"/>
        <w:ind w:firstLine="842"/>
        <w:rPr>
          <w:rStyle w:val="C3"/>
          <w:rFonts w:ascii="仿宋_GB2312" w:hAnsi="仿宋_GB2312"/>
          <w:b w:val="1"/>
          <w:color w:val="FF0000"/>
          <w:sz w:val="32"/>
        </w:rPr>
      </w:pPr>
      <w:r>
        <w:rPr>
          <w:rStyle w:val="C3"/>
          <w:rFonts w:ascii="Microsoft YaHei UI" w:hAnsi="Microsoft YaHei UI"/>
          <w:sz w:val="32"/>
        </w:rPr>
        <w:t>（六）其他不依法履行职责造成严重后果的。</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附  则</w:t>
      </w:r>
    </w:p>
    <w:p>
      <w:pPr>
        <w:pStyle w:val="P1"/>
        <w:spacing w:lineRule="exact" w:line="560"/>
        <w:jc w:val="center"/>
        <w:rPr>
          <w:rStyle w:val="C3"/>
          <w:rFonts w:ascii="黑体" w:hAnsi="黑体"/>
          <w:sz w:val="32"/>
        </w:rPr>
      </w:pPr>
    </w:p>
    <w:p>
      <w:pPr>
        <w:pStyle w:val="P1"/>
        <w:spacing w:lineRule="exact" w:line="560"/>
        <w:ind w:firstLine="84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40"/>
        <w:jc w:val="center"/>
        <w:rPr>
          <w:rStyle w:val="C3"/>
          <w:rFonts w:ascii="方正小标宋简体" w:hAnsi="方正小标宋简体"/>
          <w:sz w:val="44"/>
        </w:rPr>
      </w:pPr>
    </w:p>
    <w:p>
      <w:pPr>
        <w:pStyle w:val="P1"/>
        <w:spacing w:lineRule="exact" w:line="540"/>
        <w:rPr>
          <w:rStyle w:val="C3"/>
        </w:rPr>
      </w:pPr>
    </w:p>
    <w:sectPr>
      <w:footerReference xmlns:r="http://schemas.openxmlformats.org/officeDocument/2006/relationships" w:type="default" r:id="RelFtr1"/>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385445" cy="408940"/>
              <wp:wrapNone/>
              <wp:docPr id="1" name="Text Box 1"/>
              <a:graphic xmlns:a="http://schemas.openxmlformats.org/drawingml/2006/main">
                <a:graphicData uri="http://schemas.microsoft.com/office/word/2010/wordprocessingShape">
                  <wps:wsp>
                    <wps:cNvSpPr/>
                    <wps:spPr>
                      <a:xfrm>
                        <a:off x="0" y="0"/>
                        <a:ext cx="385445" cy="408940"/>
                      </a:xfrm>
                      <a:prstGeom prst="rect"/>
                    </wps:spPr>
                    <wps:txbx>
                      <w:txbxContent>
                        <w:p>
                          <w:pPr>
                            <w:pStyle w:val="P3"/>
                            <w:keepNext w:val="0"/>
                            <w:keepLines w:val="0"/>
                            <w:widowControl w:val="0"/>
                            <w:tabs>
                              <w:tab w:val="center" w:pos="4153" w:leader="none"/>
                              <w:tab w:val="right" w:pos="8306" w:leader="none"/>
                            </w:tabs>
                            <w:ind w:left="210" w:right="21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0.35pt;height:32.2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210" w:right="21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何发枝</dc:creator>
  <dcterms:created xsi:type="dcterms:W3CDTF">2016-04-19T01:56:00Z</dcterms:created>
  <cp:lastModifiedBy>f1TZOF\f1TZOF-</cp:lastModifiedBy>
  <cp:lastPrinted>2017-10-17T03:24:00Z</cp:lastPrinted>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