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45816F" Type="http://schemas.openxmlformats.org/officeDocument/2006/relationships/officeDocument" Target="/word/document.xml" /><Relationship Id="coreR4E45816F" Type="http://schemas.openxmlformats.org/package/2006/relationships/metadata/core-properties" Target="/docProps/core.xml" /><Relationship Id="customR4E45816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关于资源税具体适用税率标准、计征方式</w:t>
      </w:r>
    </w:p>
    <w:p>
      <w:pPr>
        <w:pStyle w:val="P1"/>
        <w:spacing w:lineRule="exact" w:line="589"/>
        <w:jc w:val="center"/>
        <w:rPr>
          <w:rStyle w:val="C3"/>
          <w:rFonts w:ascii="宋体" w:hAnsi="宋体"/>
          <w:sz w:val="44"/>
        </w:rPr>
      </w:pPr>
      <w:r>
        <w:rPr>
          <w:rStyle w:val="C3"/>
          <w:rFonts w:ascii="宋体" w:hAnsi="宋体"/>
          <w:sz w:val="44"/>
        </w:rPr>
        <w:t>及免征减征办法的决定</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日湖北省第十三届人民代表大会常务委员会第十七次会议通过）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促进资源节约集约利用、加强生态环境保护，根据《中华人民共和国资源税法》（以下简称资源税法），综合考虑本省应税资源的品位、开采条件以及对生态环境的影响等实际情况，对资源税具体适用税率、计征方式及免征减征具体办法决定如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一、按照资源税法规定实行幅度税率的资源税税目，其征税对象为原矿或者选矿的，具体适用税率按照《湖北省资源税税目税率表》（附后）执行。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二、资源税法规定可以选择实行从价计征或者从量计征的六个资源税税目：砂石、石灰岩、天然卤水资源税实行从价计征；地热、矿泉水、其他粘土资源税实行从量计征。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三、符合资源税法第七条规定情形的，按照下列办法免征或者减征资源税：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（一）纳税人开采或者生产应税产品过程中，因意外事故或者自然灾害等原因遭受重大损失的，由县级人民政府提出具体减免税意见，报省人民政府决定。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（二）纳税人开采共伴生矿</w:t>
      </w:r>
      <w:r>
        <w:rPr>
          <w:rStyle w:val="C3"/>
          <w:rFonts w:ascii="仿宋_GB2312" w:hAnsi="仿宋_GB2312"/>
          <w:sz w:val="32"/>
        </w:rPr>
        <w:t>,</w:t>
      </w:r>
      <w:r>
        <w:rPr>
          <w:rStyle w:val="C3"/>
          <w:rFonts w:ascii="Microsoft YaHei UI" w:hAnsi="Microsoft YaHei UI"/>
          <w:sz w:val="32"/>
        </w:rPr>
        <w:t>共伴生矿与主矿产品销售额分开核算的，对共伴生矿暂不计征资源税。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（三）纳税人开采尾矿，免征资源税。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上述规定的纳税人，自行申报享受税收优惠政策，并将相关材料留存备查。意外事故、自然灾害由省人民政府应急管理部门认定，共伴生矿由设区的市、自治州人民政府自然资源部门认定，尾矿由设区的市、自治州人民政府应急管理部门认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税务机关与自然资源、应急管理等相关部门应当建立工作配合机制。税务机关定期向同级自然资源、应急管理部门提供纳税人享受共伴生矿、尾矿等税收减免情况，自然资源、应急管理部门在税务机关送达书面函件的</w:t>
      </w:r>
      <w:r>
        <w:rPr>
          <w:rStyle w:val="C3"/>
          <w:rFonts w:ascii="仿宋_GB2312" w:hAnsi="仿宋_GB2312"/>
          <w:sz w:val="32"/>
        </w:rPr>
        <w:t>15</w:t>
      </w:r>
      <w:r>
        <w:rPr>
          <w:rStyle w:val="C3"/>
          <w:rFonts w:ascii="Microsoft YaHei UI" w:hAnsi="Microsoft YaHei UI"/>
          <w:sz w:val="32"/>
        </w:rPr>
        <w:t>个工作日内给予回复。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本决定自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附件</w:t>
      </w: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湖北省资源税税目税率表</w:t>
      </w:r>
    </w:p>
    <w:p>
      <w:pPr>
        <w:pStyle w:val="P1"/>
        <w:keepNext w:val="0"/>
        <w:keepLines w:val="0"/>
        <w:widowControl w:val="0"/>
        <w:spacing w:lineRule="exact" w:line="240"/>
        <w:ind w:firstLine="0" w:left="0" w:right="0"/>
        <w:jc w:val="center"/>
        <w:rPr>
          <w:rStyle w:val="C3"/>
          <w:rFonts w:ascii="宋体" w:hAnsi="宋体"/>
          <w:sz w:val="32"/>
        </w:rPr>
      </w:pPr>
    </w:p>
    <w:tbl>
      <w:tblPr>
        <w:tblStyle w:val="T2"/>
        <w:jc w:val="center"/>
        <w:tblLayout w:type="fixed"/>
        <w:tblCellMar>
          <w:top w:w="0" w:type="dxa"/>
          <w:left w:w="0" w:type="dxa"/>
          <w:bottom w:w="0" w:type="dxa"/>
          <w:right w:w="0" w:type="dxa"/>
        </w:tblCellMar>
      </w:tblPr>
      <w:tblGrid/>
      <w:tr>
        <w:trPr>
          <w:trHeight w:hRule="atLeast" w:val="318"/>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黑体" w:hAnsi="黑体"/>
                <w:color w:val="000000"/>
                <w:sz w:val="24"/>
              </w:rPr>
            </w:pPr>
            <w:r>
              <w:rPr>
                <w:rStyle w:val="C3"/>
                <w:rFonts w:ascii="黑体" w:hAnsi="黑体"/>
                <w:color w:val="000000"/>
                <w:sz w:val="24"/>
              </w:rPr>
              <w:t>序号</w:t>
            </w:r>
          </w:p>
        </w:tc>
        <w:tc>
          <w:tcPr>
            <w:tcW w:w="5381" w:type="dxa"/>
            <w:gridSpan w:val="3"/>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黑体" w:hAnsi="黑体"/>
                <w:color w:val="000000"/>
                <w:sz w:val="24"/>
              </w:rPr>
            </w:pPr>
            <w:r>
              <w:rPr>
                <w:rStyle w:val="C3"/>
                <w:rFonts w:ascii="黑体" w:hAnsi="黑体"/>
                <w:color w:val="000000"/>
                <w:sz w:val="24"/>
              </w:rPr>
              <w:t xml:space="preserve">税   目</w:t>
            </w:r>
          </w:p>
        </w:tc>
        <w:tc>
          <w:tcPr>
            <w:tcW w:w="2761" w:type="dxa"/>
            <w:gridSpan w:val="2"/>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黑体" w:hAnsi="黑体"/>
                <w:color w:val="000000"/>
                <w:sz w:val="24"/>
              </w:rPr>
            </w:pPr>
            <w:r>
              <w:rPr>
                <w:rStyle w:val="C3"/>
                <w:rFonts w:ascii="黑体" w:hAnsi="黑体"/>
                <w:color w:val="000000"/>
                <w:sz w:val="24"/>
              </w:rPr>
              <w:t>税率</w:t>
            </w:r>
          </w:p>
        </w:tc>
      </w:tr>
      <w:tr>
        <w:trPr>
          <w:trHeight w:hRule="atLeast" w:val="308"/>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黑体" w:hAnsi="黑体"/>
                <w:color w:val="000000"/>
                <w:sz w:val="24"/>
              </w:rPr>
            </w:pPr>
          </w:p>
        </w:tc>
        <w:tc>
          <w:tcPr>
            <w:tcW w:w="5381" w:type="dxa"/>
            <w:gridSpan w:val="3"/>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黑体" w:hAnsi="黑体"/>
                <w:color w:val="000000"/>
                <w:sz w:val="24"/>
              </w:rPr>
            </w:pP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黑体" w:hAnsi="黑体"/>
                <w:color w:val="000000"/>
                <w:sz w:val="24"/>
              </w:rPr>
            </w:pPr>
            <w:r>
              <w:rPr>
                <w:rStyle w:val="C3"/>
                <w:rFonts w:ascii="黑体" w:hAnsi="黑体"/>
                <w:color w:val="000000"/>
                <w:sz w:val="24"/>
              </w:rPr>
              <w:t>原矿</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黑体" w:hAnsi="黑体"/>
                <w:color w:val="000000"/>
                <w:sz w:val="24"/>
              </w:rPr>
            </w:pPr>
            <w:r>
              <w:rPr>
                <w:rStyle w:val="C3"/>
                <w:rFonts w:ascii="黑体" w:hAnsi="黑体"/>
                <w:color w:val="000000"/>
                <w:sz w:val="24"/>
              </w:rPr>
              <w:t>选矿</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w:t>
            </w:r>
          </w:p>
        </w:tc>
        <w:tc>
          <w:tcPr>
            <w:tcW w:w="2568" w:type="dxa"/>
            <w:gridSpan w:val="2"/>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能源矿产</w:t>
            </w: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煤</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2568" w:type="dxa"/>
            <w:gridSpan w:val="2"/>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石煤</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2568" w:type="dxa"/>
            <w:gridSpan w:val="2"/>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地热</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r>
              <w:rPr>
                <w:rStyle w:val="C3"/>
                <w:rFonts w:ascii="Microsoft YaHei UI" w:hAnsi="Microsoft YaHei UI"/>
                <w:color w:val="000000"/>
                <w:sz w:val="24"/>
              </w:rPr>
              <w:t>元</w:t>
            </w:r>
            <w:r>
              <w:rPr>
                <w:rStyle w:val="C3"/>
                <w:rFonts w:ascii="仿宋_GB2312" w:hAnsi="仿宋_GB2312"/>
                <w:color w:val="000000"/>
                <w:sz w:val="24"/>
              </w:rPr>
              <w:t>/</w:t>
            </w:r>
            <w:r>
              <w:rPr>
                <w:rStyle w:val="C3"/>
                <w:rFonts w:ascii="Microsoft YaHei UI" w:hAnsi="Microsoft YaHei UI"/>
                <w:color w:val="000000"/>
                <w:sz w:val="24"/>
              </w:rPr>
              <w:t>立方米</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w:t>
            </w:r>
          </w:p>
        </w:tc>
        <w:tc>
          <w:tcPr>
            <w:tcW w:w="1368" w:type="dxa"/>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金属矿产</w:t>
            </w: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黑色金属</w:t>
            </w: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铁</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锰</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铬</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钒</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钛</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9</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有色金属</w:t>
            </w: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铜</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10</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铅</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11</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锌</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12</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锡</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13</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镍</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14</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锑</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15</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镁</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16</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钴</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17</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汞</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18</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铝土矿</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19</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金</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20</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银</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21</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轻稀土</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22</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锂</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23</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锆</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24</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锶</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25</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铷</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26</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铯</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27</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铌</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28</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钽</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29</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锗</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30</w:t>
            </w:r>
          </w:p>
        </w:tc>
        <w:tc>
          <w:tcPr>
            <w:tcW w:w="1368" w:type="dxa"/>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镓</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67"/>
        </w:trPr>
        <w:tc>
          <w:tcPr>
            <w:tcW w:w="642" w:type="dxa"/>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黑体" w:hAnsi="黑体"/>
                <w:color w:val="000000"/>
                <w:sz w:val="24"/>
              </w:rPr>
              <w:t>序号</w:t>
            </w:r>
          </w:p>
        </w:tc>
        <w:tc>
          <w:tcPr>
            <w:tcW w:w="5381" w:type="dxa"/>
            <w:gridSpan w:val="3"/>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黑体" w:hAnsi="黑体"/>
                <w:color w:val="000000"/>
                <w:sz w:val="24"/>
              </w:rPr>
              <w:t xml:space="preserve">税   目</w:t>
            </w:r>
          </w:p>
        </w:tc>
        <w:tc>
          <w:tcPr>
            <w:tcW w:w="2761" w:type="dxa"/>
            <w:gridSpan w:val="2"/>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黑体" w:hAnsi="黑体"/>
                <w:color w:val="000000"/>
                <w:sz w:val="24"/>
              </w:rPr>
              <w:t>税率</w:t>
            </w:r>
          </w:p>
        </w:tc>
      </w:tr>
      <w:tr>
        <w:trPr>
          <w:trHeight w:hRule="atLeast" w:val="349"/>
        </w:trPr>
        <w:tc>
          <w:tcPr>
            <w:tcW w:w="642" w:type="dxa"/>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p>
        </w:tc>
        <w:tc>
          <w:tcPr>
            <w:tcW w:w="5381" w:type="dxa"/>
            <w:gridSpan w:val="3"/>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黑体" w:hAnsi="黑体"/>
                <w:color w:val="000000"/>
                <w:sz w:val="24"/>
              </w:rPr>
              <w:t>原矿</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黑体" w:hAnsi="黑体"/>
                <w:color w:val="000000"/>
                <w:sz w:val="24"/>
              </w:rPr>
              <w:t>选矿</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31</w:t>
            </w:r>
          </w:p>
        </w:tc>
        <w:tc>
          <w:tcPr>
            <w:tcW w:w="1368" w:type="dxa"/>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铊</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32</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铼</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33</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镉</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34</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硒</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35</w:t>
            </w:r>
          </w:p>
        </w:tc>
        <w:tc>
          <w:tcPr>
            <w:tcW w:w="1368" w:type="dxa"/>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碲</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36</w:t>
            </w:r>
          </w:p>
        </w:tc>
        <w:tc>
          <w:tcPr>
            <w:tcW w:w="1368" w:type="dxa"/>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非金属矿产</w:t>
            </w:r>
          </w:p>
        </w:tc>
        <w:tc>
          <w:tcPr>
            <w:tcW w:w="1200" w:type="dxa"/>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矿物类</w:t>
            </w: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高岭土</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1.5%</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37</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石灰岩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5.5%</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38</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磷</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39</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石墨</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40</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萤石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41</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硫铁矿</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42</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天然石英砂</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43</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脉石英</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44</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水晶</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45</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长石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46</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滑石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47</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芒硝</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48</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硼</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49</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碘</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50</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溴</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51</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膨润土</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10%</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9%</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52</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陶瓷土</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53</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耐火粘土</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2.5%</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54</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累托石粘土</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55</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硅灰石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56</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透辉石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57</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云母</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58</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重晶石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59</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方解石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60</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沸石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61</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蛭石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62</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透闪石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63</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工业用电气石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64</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石榴子石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65</w:t>
            </w:r>
          </w:p>
        </w:tc>
        <w:tc>
          <w:tcPr>
            <w:tcW w:w="1368" w:type="dxa"/>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石膏</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黑体" w:hAnsi="黑体"/>
                <w:color w:val="000000"/>
                <w:sz w:val="24"/>
              </w:rPr>
              <w:t>序号</w:t>
            </w:r>
          </w:p>
        </w:tc>
        <w:tc>
          <w:tcPr>
            <w:tcW w:w="5381" w:type="dxa"/>
            <w:gridSpan w:val="3"/>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黑体" w:hAnsi="黑体"/>
                <w:color w:val="000000"/>
                <w:sz w:val="24"/>
              </w:rPr>
              <w:t xml:space="preserve">税   目</w:t>
            </w:r>
          </w:p>
        </w:tc>
        <w:tc>
          <w:tcPr>
            <w:tcW w:w="2761" w:type="dxa"/>
            <w:gridSpan w:val="2"/>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黑体" w:hAnsi="黑体"/>
                <w:color w:val="000000"/>
                <w:sz w:val="24"/>
              </w:rPr>
              <w:t>税率</w:t>
            </w:r>
          </w:p>
        </w:tc>
      </w:tr>
      <w:tr>
        <w:trPr>
          <w:trHeight w:hRule="atLeast" w:val="306"/>
        </w:trPr>
        <w:tc>
          <w:tcPr>
            <w:tcW w:w="642" w:type="dxa"/>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p>
        </w:tc>
        <w:tc>
          <w:tcPr>
            <w:tcW w:w="5381" w:type="dxa"/>
            <w:gridSpan w:val="3"/>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黑体" w:hAnsi="黑体"/>
                <w:color w:val="000000"/>
                <w:sz w:val="24"/>
              </w:rPr>
              <w:t>原矿</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黑体" w:hAnsi="黑体"/>
                <w:color w:val="000000"/>
                <w:sz w:val="24"/>
              </w:rPr>
              <w:t>选矿</w:t>
            </w:r>
          </w:p>
        </w:tc>
      </w:tr>
      <w:tr>
        <w:trPr>
          <w:trHeight w:hRule="atLeast" w:val="1787"/>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66</w:t>
            </w:r>
          </w:p>
        </w:tc>
        <w:tc>
          <w:tcPr>
            <w:tcW w:w="1368" w:type="dxa"/>
            <w:tcBorders>
              <w:top w:val="single" w:sz="1" w:space="0" w:shadow="0" w:frame="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both"/>
              <w:rPr>
                <w:rStyle w:val="C3"/>
                <w:rFonts w:ascii="仿宋_GB2312" w:hAnsi="仿宋_GB2312"/>
                <w:color w:val="000000"/>
                <w:sz w:val="24"/>
              </w:rPr>
            </w:pPr>
            <w:r>
              <w:rPr>
                <w:rStyle w:val="C3"/>
                <w:rFonts w:ascii="Microsoft YaHei UI" w:hAnsi="Microsoft YaHei UI"/>
                <w:color w:val="000000"/>
                <w:sz w:val="24"/>
              </w:rPr>
              <w:t>其他粘土（铸型用粘土、砖瓦用粘土、陶料用粘土、水泥配料用红土、水泥配料用黄土、水泥配料用泥岩、保温材料用粘土）</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r>
              <w:rPr>
                <w:rStyle w:val="C3"/>
                <w:rFonts w:ascii="Microsoft YaHei UI" w:hAnsi="Microsoft YaHei UI"/>
                <w:color w:val="000000"/>
                <w:sz w:val="24"/>
              </w:rPr>
              <w:t>元</w:t>
            </w:r>
            <w:r>
              <w:rPr>
                <w:rStyle w:val="C3"/>
                <w:rFonts w:ascii="仿宋_GB2312" w:hAnsi="仿宋_GB2312"/>
                <w:color w:val="000000"/>
                <w:sz w:val="24"/>
              </w:rPr>
              <w:t>/</w:t>
            </w:r>
            <w:r>
              <w:rPr>
                <w:rStyle w:val="C3"/>
                <w:rFonts w:ascii="Microsoft YaHei UI" w:hAnsi="Microsoft YaHei UI"/>
                <w:color w:val="000000"/>
                <w:sz w:val="24"/>
              </w:rPr>
              <w:t>立方米</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r>
              <w:rPr>
                <w:rStyle w:val="C3"/>
                <w:rFonts w:ascii="Microsoft YaHei UI" w:hAnsi="Microsoft YaHei UI"/>
                <w:color w:val="000000"/>
                <w:sz w:val="24"/>
              </w:rPr>
              <w:t>元</w:t>
            </w:r>
            <w:r>
              <w:rPr>
                <w:rStyle w:val="C3"/>
                <w:rFonts w:ascii="仿宋_GB2312" w:hAnsi="仿宋_GB2312"/>
                <w:color w:val="000000"/>
                <w:sz w:val="24"/>
              </w:rPr>
              <w:t>/</w:t>
            </w:r>
            <w:r>
              <w:rPr>
                <w:rStyle w:val="C3"/>
                <w:rFonts w:ascii="Microsoft YaHei UI" w:hAnsi="Microsoft YaHei UI"/>
                <w:color w:val="000000"/>
                <w:sz w:val="24"/>
              </w:rPr>
              <w:t>立方米</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67</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岩石类</w:t>
            </w: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大理岩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68</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花岗岩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5%</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69</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白云岩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70</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石英岩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71</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砂岩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72</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辉绿岩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73</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安山岩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74</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闪长岩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75</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板岩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76</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玄武岩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77</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片麻岩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78</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角闪岩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79</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页岩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80</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含钾岩石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81</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凝灰岩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82</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蛇纹岩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83</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泥灰岩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84</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含钾砂页岩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85</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橄榄岩</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86</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泥炭</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87</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砂石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88</w:t>
            </w:r>
          </w:p>
        </w:tc>
        <w:tc>
          <w:tcPr>
            <w:tcW w:w="1368" w:type="dxa"/>
            <w:tcBorders>
              <w:top w:val="nil" w:sz="0" w:space="0" w:shadow="0" w:frame="0" w:color="000000"/>
              <w:left w:val="single" w:sz="1" w:space="0" w:shadow="0" w:frame="0"/>
              <w:bottom w:val="nil" w:sz="0" w:space="0" w:shadow="0" w:frame="0" w:color="00000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宝玉石类</w:t>
            </w: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玉石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89</w:t>
            </w:r>
          </w:p>
        </w:tc>
        <w:tc>
          <w:tcPr>
            <w:tcW w:w="1368" w:type="dxa"/>
            <w:tcBorders>
              <w:top w:val="nil" w:sz="0" w:space="0" w:shadow="0" w:frame="0" w:color="00000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120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2813"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宝石</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8%</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2.5%</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90</w:t>
            </w:r>
          </w:p>
        </w:tc>
        <w:tc>
          <w:tcPr>
            <w:tcW w:w="1368"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水气矿产</w:t>
            </w:r>
          </w:p>
        </w:tc>
        <w:tc>
          <w:tcPr>
            <w:tcW w:w="4013" w:type="dxa"/>
            <w:gridSpan w:val="2"/>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矿泉水</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2</w:t>
            </w:r>
            <w:r>
              <w:rPr>
                <w:rStyle w:val="C3"/>
                <w:rFonts w:ascii="Microsoft YaHei UI" w:hAnsi="Microsoft YaHei UI"/>
                <w:color w:val="000000"/>
                <w:sz w:val="24"/>
              </w:rPr>
              <w:t>元</w:t>
            </w:r>
            <w:r>
              <w:rPr>
                <w:rStyle w:val="C3"/>
                <w:rFonts w:ascii="仿宋_GB2312" w:hAnsi="仿宋_GB2312"/>
                <w:color w:val="000000"/>
                <w:sz w:val="24"/>
              </w:rPr>
              <w:t>/</w:t>
            </w:r>
            <w:r>
              <w:rPr>
                <w:rStyle w:val="C3"/>
                <w:rFonts w:ascii="Microsoft YaHei UI" w:hAnsi="Microsoft YaHei UI"/>
                <w:color w:val="000000"/>
                <w:sz w:val="24"/>
              </w:rPr>
              <w:t>立方米</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91</w:t>
            </w:r>
          </w:p>
        </w:tc>
        <w:tc>
          <w:tcPr>
            <w:tcW w:w="1368"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盐</w:t>
            </w:r>
          </w:p>
        </w:tc>
        <w:tc>
          <w:tcPr>
            <w:tcW w:w="4013" w:type="dxa"/>
            <w:gridSpan w:val="2"/>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钠盐</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atLeast" w:val="306"/>
        </w:trPr>
        <w:tc>
          <w:tcPr>
            <w:tcW w:w="642"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92</w:t>
            </w:r>
          </w:p>
        </w:tc>
        <w:tc>
          <w:tcPr>
            <w:tcW w:w="1368"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jc w:val="center"/>
              <w:rPr>
                <w:rStyle w:val="C3"/>
                <w:rFonts w:ascii="仿宋_GB2312" w:hAnsi="仿宋_GB2312"/>
                <w:color w:val="000000"/>
                <w:sz w:val="24"/>
              </w:rPr>
            </w:pPr>
          </w:p>
        </w:tc>
        <w:tc>
          <w:tcPr>
            <w:tcW w:w="4013" w:type="dxa"/>
            <w:gridSpan w:val="2"/>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Microsoft YaHei UI" w:hAnsi="Microsoft YaHei UI"/>
                <w:color w:val="000000"/>
                <w:sz w:val="24"/>
              </w:rPr>
              <w:t>天然卤水</w:t>
            </w:r>
          </w:p>
        </w:tc>
        <w:tc>
          <w:tcPr>
            <w:tcW w:w="1380"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4%</w:t>
            </w:r>
          </w:p>
        </w:tc>
        <w:tc>
          <w:tcPr>
            <w:tcW w:w="1381" w:type="dxa"/>
            <w:tcBorders>
              <w:top w:val="single" w:sz="1" w:space="0" w:shadow="0" w:frame="0"/>
              <w:left w:val="single" w:sz="1" w:space="0" w:shadow="0" w:frame="0"/>
              <w:bottom w:val="single" w:sz="1" w:space="0" w:shadow="0" w:frame="0"/>
              <w:right w:val="single" w:sz="1" w:space="0" w:shadow="0" w:frame="0"/>
            </w:tcBorders>
            <w:tcMar>
              <w:top w:w="15" w:type="dxa"/>
              <w:left w:w="15" w:type="dxa"/>
              <w:right w:w="15" w:type="dxa"/>
            </w:tcMar>
          </w:tcPr>
          <w:p>
            <w:pPr>
              <w:pStyle w:val="P1"/>
              <w:widowControl w:val="1"/>
              <w:jc w:val="center"/>
              <w:rPr>
                <w:rStyle w:val="C3"/>
                <w:rFonts w:ascii="仿宋_GB2312" w:hAnsi="仿宋_GB2312"/>
                <w:color w:val="000000"/>
                <w:sz w:val="24"/>
              </w:rPr>
            </w:pPr>
            <w:r>
              <w:rPr>
                <w:rStyle w:val="C3"/>
                <w:rFonts w:ascii="仿宋_GB2312" w:hAnsi="仿宋_GB2312"/>
                <w:color w:val="000000"/>
                <w:sz w:val="24"/>
              </w:rPr>
              <w:t>/</w:t>
            </w:r>
          </w:p>
        </w:tc>
      </w:tr>
    </w:tbl>
    <w:p>
      <w:pPr>
        <w:pStyle w:val="P1"/>
        <w:spacing w:lineRule="auto" w:line="240"/>
        <w:rPr>
          <w:rStyle w:val="C3"/>
          <w:rFonts w:ascii="仿宋_GB2312" w:hAnsi="仿宋_GB2312"/>
          <w:sz w:val="24"/>
        </w:rPr>
      </w:pPr>
      <w:r>
        <w:rPr>
          <w:rStyle w:val="C3"/>
          <w:rFonts w:ascii="Microsoft YaHei UI" w:hAnsi="Microsoft YaHei UI"/>
          <w:sz w:val="24"/>
        </w:rPr>
        <w:t>备注：</w:t>
      </w:r>
      <w:r>
        <w:rPr>
          <w:rStyle w:val="C3"/>
          <w:rFonts w:ascii="仿宋_GB2312" w:hAnsi="仿宋_GB2312"/>
          <w:sz w:val="24"/>
        </w:rPr>
        <w:t>1.</w:t>
      </w:r>
      <w:r>
        <w:rPr>
          <w:rStyle w:val="C3"/>
          <w:rFonts w:ascii="Microsoft YaHei UI" w:hAnsi="Microsoft YaHei UI"/>
          <w:sz w:val="24"/>
        </w:rPr>
        <w:t>根据《中华人民共和国资源税法》规定，除上述</w:t>
      </w:r>
      <w:r>
        <w:rPr>
          <w:rStyle w:val="C3"/>
          <w:rFonts w:ascii="仿宋_GB2312" w:hAnsi="仿宋_GB2312"/>
          <w:sz w:val="24"/>
        </w:rPr>
        <w:t>92</w:t>
      </w:r>
      <w:r>
        <w:rPr>
          <w:rStyle w:val="C3"/>
          <w:rFonts w:ascii="Microsoft YaHei UI" w:hAnsi="Microsoft YaHei UI"/>
          <w:sz w:val="24"/>
        </w:rPr>
        <w:t>个税目外，以下税目实行</w:t>
      </w:r>
    </w:p>
    <w:p>
      <w:pPr>
        <w:pStyle w:val="P1"/>
        <w:spacing w:lineRule="auto" w:line="240"/>
        <w:rPr>
          <w:rStyle w:val="C3"/>
          <w:rFonts w:ascii="仿宋_GB2312" w:hAnsi="仿宋_GB2312"/>
          <w:sz w:val="24"/>
        </w:rPr>
      </w:pPr>
      <w:r>
        <w:rPr>
          <w:rStyle w:val="C3"/>
          <w:rFonts w:ascii="仿宋_GB2312" w:hAnsi="仿宋_GB2312"/>
          <w:sz w:val="24"/>
        </w:rPr>
        <w:t xml:space="preserve">        </w:t>
      </w:r>
      <w:r>
        <w:rPr>
          <w:rStyle w:val="C3"/>
          <w:rFonts w:ascii="Microsoft YaHei UI" w:hAnsi="Microsoft YaHei UI"/>
          <w:sz w:val="24"/>
        </w:rPr>
        <w:t>全国统一的固定税率：原油，原矿</w:t>
      </w:r>
      <w:r>
        <w:rPr>
          <w:rStyle w:val="C3"/>
          <w:rFonts w:ascii="仿宋_GB2312" w:hAnsi="仿宋_GB2312"/>
          <w:sz w:val="24"/>
        </w:rPr>
        <w:t>6%</w:t>
      </w:r>
      <w:r>
        <w:rPr>
          <w:rStyle w:val="C3"/>
          <w:rFonts w:ascii="Microsoft YaHei UI" w:hAnsi="Microsoft YaHei UI"/>
          <w:sz w:val="24"/>
        </w:rPr>
        <w:t>；天然气、页岩气、天然水气合物，原矿</w:t>
      </w:r>
    </w:p>
    <w:p>
      <w:pPr>
        <w:pStyle w:val="P1"/>
        <w:spacing w:lineRule="auto" w:line="240"/>
        <w:rPr>
          <w:rStyle w:val="C3"/>
          <w:rFonts w:ascii="仿宋_GB2312" w:hAnsi="仿宋_GB2312"/>
          <w:sz w:val="24"/>
        </w:rPr>
      </w:pPr>
      <w:r>
        <w:rPr>
          <w:rStyle w:val="C3"/>
          <w:rFonts w:ascii="仿宋_GB2312" w:hAnsi="仿宋_GB2312"/>
          <w:sz w:val="24"/>
        </w:rPr>
        <w:t xml:space="preserve">        6%</w:t>
      </w:r>
      <w:r>
        <w:rPr>
          <w:rStyle w:val="C3"/>
          <w:rFonts w:ascii="Microsoft YaHei UI" w:hAnsi="Microsoft YaHei UI"/>
          <w:sz w:val="24"/>
        </w:rPr>
        <w:t>；铀、钍，原矿</w:t>
      </w:r>
      <w:r>
        <w:rPr>
          <w:rStyle w:val="C3"/>
          <w:rFonts w:ascii="仿宋_GB2312" w:hAnsi="仿宋_GB2312"/>
          <w:sz w:val="24"/>
        </w:rPr>
        <w:t>4%</w:t>
      </w:r>
      <w:r>
        <w:rPr>
          <w:rStyle w:val="C3"/>
          <w:rFonts w:ascii="Microsoft YaHei UI" w:hAnsi="Microsoft YaHei UI"/>
          <w:sz w:val="24"/>
        </w:rPr>
        <w:t>；钨，选矿</w:t>
      </w:r>
      <w:r>
        <w:rPr>
          <w:rStyle w:val="C3"/>
          <w:rFonts w:ascii="仿宋_GB2312" w:hAnsi="仿宋_GB2312"/>
          <w:sz w:val="24"/>
        </w:rPr>
        <w:t>6.5%</w:t>
      </w:r>
      <w:r>
        <w:rPr>
          <w:rStyle w:val="C3"/>
          <w:rFonts w:ascii="Microsoft YaHei UI" w:hAnsi="Microsoft YaHei UI"/>
          <w:sz w:val="24"/>
        </w:rPr>
        <w:t>；钼，选矿</w:t>
      </w:r>
      <w:r>
        <w:rPr>
          <w:rStyle w:val="C3"/>
          <w:rFonts w:ascii="仿宋_GB2312" w:hAnsi="仿宋_GB2312"/>
          <w:sz w:val="24"/>
        </w:rPr>
        <w:t>8%</w:t>
      </w:r>
      <w:r>
        <w:rPr>
          <w:rStyle w:val="C3"/>
          <w:rFonts w:ascii="Microsoft YaHei UI" w:hAnsi="Microsoft YaHei UI"/>
          <w:sz w:val="24"/>
        </w:rPr>
        <w:t>；中重稀土，选矿</w:t>
      </w:r>
      <w:r>
        <w:rPr>
          <w:rStyle w:val="C3"/>
          <w:rFonts w:ascii="仿宋_GB2312" w:hAnsi="仿宋_GB2312"/>
          <w:sz w:val="24"/>
        </w:rPr>
        <w:t>20%</w:t>
      </w:r>
      <w:r>
        <w:rPr>
          <w:rStyle w:val="C3"/>
          <w:rFonts w:ascii="Microsoft YaHei UI" w:hAnsi="Microsoft YaHei UI"/>
          <w:sz w:val="24"/>
        </w:rPr>
        <w:t>。</w:t>
      </w:r>
    </w:p>
    <w:p>
      <w:pPr>
        <w:pStyle w:val="P1"/>
        <w:spacing w:lineRule="auto" w:line="240"/>
        <w:rPr>
          <w:rStyle w:val="C3"/>
          <w:rFonts w:ascii="仿宋_GB2312" w:hAnsi="仿宋_GB2312"/>
          <w:sz w:val="32"/>
        </w:rPr>
      </w:pPr>
      <w:r>
        <w:rPr>
          <w:rStyle w:val="C3"/>
          <w:rFonts w:ascii="仿宋_GB2312" w:hAnsi="仿宋_GB2312"/>
          <w:sz w:val="24"/>
        </w:rPr>
        <w:t xml:space="preserve">      2.</w:t>
      </w:r>
      <w:r>
        <w:rPr>
          <w:rStyle w:val="C3"/>
          <w:rFonts w:ascii="Microsoft YaHei UI" w:hAnsi="Microsoft YaHei UI"/>
          <w:sz w:val="24"/>
        </w:rPr>
        <w:t>根据矿产资源分类，我省出产的绿松石属于</w:t>
      </w:r>
      <w:r>
        <w:rPr>
          <w:rStyle w:val="C3"/>
          <w:rFonts w:ascii="仿宋_GB2312" w:hAnsi="仿宋_GB2312"/>
          <w:sz w:val="24"/>
        </w:rPr>
        <w:t>“</w:t>
      </w:r>
      <w:r>
        <w:rPr>
          <w:rStyle w:val="C3"/>
          <w:rFonts w:ascii="Microsoft YaHei UI" w:hAnsi="Microsoft YaHei UI"/>
          <w:sz w:val="24"/>
        </w:rPr>
        <w:t>宝玉石类</w:t>
      </w:r>
      <w:r>
        <w:rPr>
          <w:rStyle w:val="C3"/>
          <w:rFonts w:ascii="仿宋_GB2312" w:hAnsi="仿宋_GB2312"/>
          <w:sz w:val="24"/>
        </w:rPr>
        <w:t>——</w:t>
      </w:r>
      <w:r>
        <w:rPr>
          <w:rStyle w:val="C3"/>
          <w:rFonts w:ascii="Microsoft YaHei UI" w:hAnsi="Microsoft YaHei UI"/>
          <w:sz w:val="24"/>
        </w:rPr>
        <w:t>玉石</w:t>
      </w:r>
      <w:r>
        <w:rPr>
          <w:rStyle w:val="C3"/>
          <w:rFonts w:ascii="仿宋_GB2312" w:hAnsi="仿宋_GB2312"/>
          <w:sz w:val="24"/>
        </w:rPr>
        <w:t>”</w:t>
      </w:r>
      <w:r>
        <w:rPr>
          <w:rStyle w:val="C3"/>
          <w:rFonts w:ascii="Microsoft YaHei UI" w:hAnsi="Microsoft YaHei UI"/>
          <w:sz w:val="24"/>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2020-07-31T08:07:00Z</cp:lastPrinted>
  <dcterms:modified xsi:type="dcterms:W3CDTF">2024-08-28T01:35:16Z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