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9F14D5" Type="http://schemas.openxmlformats.org/officeDocument/2006/relationships/officeDocument" Target="/word/document.xml" /><Relationship Id="coreRD9F14D5" Type="http://schemas.openxmlformats.org/package/2006/relationships/metadata/core-properties" Target="/docProps/core.xml" /><Relationship Id="customRD9F14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30"/>
        <w:jc w:val="center"/>
        <w:rPr>
          <w:rStyle w:val="C3"/>
          <w:color w:val="000000"/>
          <w:sz w:val="32"/>
        </w:rPr>
      </w:pPr>
    </w:p>
    <w:p>
      <w:pPr>
        <w:pStyle w:val="P1"/>
        <w:spacing w:lineRule="exact" w:line="530"/>
        <w:jc w:val="center"/>
        <w:rPr>
          <w:rStyle w:val="C3"/>
          <w:color w:val="000000"/>
          <w:sz w:val="44"/>
        </w:rPr>
      </w:pPr>
      <w:r>
        <w:rPr>
          <w:rStyle w:val="C3"/>
          <w:rFonts w:ascii="方正姚体" w:hAnsi="方正姚体"/>
          <w:color w:val="000000"/>
          <w:sz w:val="44"/>
        </w:rPr>
        <w:t>北京市查处非法客运若干规定</w:t>
      </w:r>
    </w:p>
    <w:p>
      <w:pPr>
        <w:pStyle w:val="P1"/>
        <w:spacing w:lineRule="exact" w:line="530"/>
        <w:jc w:val="center"/>
        <w:rPr>
          <w:rStyle w:val="C3"/>
          <w:color w:val="000000"/>
          <w:sz w:val="32"/>
        </w:rPr>
      </w:pPr>
      <w:r>
        <w:rPr>
          <w:rStyle w:val="C3"/>
          <w:rFonts w:ascii="方正姚体" w:hAnsi="方正姚体"/>
          <w:color w:val="000000"/>
          <w:sz w:val="32"/>
        </w:rPr>
        <w:t>（</w:t>
      </w:r>
      <w:r>
        <w:rPr>
          <w:rStyle w:val="C3"/>
          <w:color w:val="000000"/>
          <w:sz w:val="32"/>
        </w:rPr>
        <w:t>2018</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日北京市第十五届人民代表大会</w:t>
      </w:r>
    </w:p>
    <w:p>
      <w:pPr>
        <w:pStyle w:val="P1"/>
        <w:spacing w:lineRule="exact" w:line="530"/>
        <w:jc w:val="center"/>
        <w:rPr>
          <w:rStyle w:val="C3"/>
          <w:color w:val="000000"/>
          <w:sz w:val="32"/>
        </w:rPr>
      </w:pPr>
      <w:r>
        <w:rPr>
          <w:rStyle w:val="C3"/>
          <w:rFonts w:ascii="方正姚体" w:hAnsi="方正姚体"/>
          <w:color w:val="000000"/>
          <w:sz w:val="32"/>
        </w:rPr>
        <w:t>常务委员会第四次会议通过）</w:t>
      </w:r>
    </w:p>
    <w:p>
      <w:pPr>
        <w:pStyle w:val="P1"/>
        <w:spacing w:lineRule="exact" w:line="530"/>
        <w:rPr>
          <w:rStyle w:val="C3"/>
          <w:color w:val="000000"/>
          <w:sz w:val="32"/>
        </w:rPr>
      </w:pPr>
    </w:p>
    <w:p>
      <w:pPr>
        <w:pStyle w:val="P1"/>
        <w:spacing w:lineRule="exact" w:line="530"/>
        <w:ind w:firstLine="640"/>
        <w:rPr>
          <w:rStyle w:val="C3"/>
          <w:b w:val="1"/>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为了保障客运安全和乘客合法权益，规范本市客运市场秩序，打击非法客运行为，根据国家和本市相关法律法规，结合本市实际情况，制定本规定。</w:t>
      </w:r>
    </w:p>
    <w:p>
      <w:pPr>
        <w:pStyle w:val="P1"/>
        <w:spacing w:lineRule="exact" w:line="530"/>
        <w:ind w:firstLine="640"/>
        <w:rPr>
          <w:rStyle w:val="C3"/>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方正姚体" w:hAnsi="方正姚体"/>
          <w:color w:val="000000"/>
          <w:sz w:val="32"/>
        </w:rPr>
        <w:t>在本市行政区域内从事客运经营的经营者、车辆和驾驶人员应当依法取得相应许可。</w:t>
      </w:r>
    </w:p>
    <w:p>
      <w:pPr>
        <w:pStyle w:val="P1"/>
        <w:spacing w:lineRule="exact" w:line="530"/>
        <w:ind w:firstLine="640"/>
        <w:rPr>
          <w:rStyle w:val="C3"/>
          <w:color w:val="000000"/>
          <w:sz w:val="32"/>
        </w:rPr>
      </w:pPr>
      <w:r>
        <w:rPr>
          <w:rStyle w:val="C3"/>
          <w:rFonts w:ascii="方正姚体" w:hAnsi="方正姚体"/>
          <w:color w:val="000000"/>
          <w:sz w:val="32"/>
        </w:rPr>
        <w:t>未经许可不得从事或者组织从事客运经营。</w:t>
      </w:r>
    </w:p>
    <w:p>
      <w:pPr>
        <w:pStyle w:val="P1"/>
        <w:spacing w:lineRule="exact" w:line="530"/>
        <w:ind w:firstLine="640"/>
        <w:rPr>
          <w:rStyle w:val="C3"/>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禁止巡游出租汽车以外的其他车辆喷涂巡游出租汽车专用车身配色和图案标识，安装专用号牌、营运标识和设施，假冒巡游出租汽车。</w:t>
      </w:r>
    </w:p>
    <w:p>
      <w:pPr>
        <w:pStyle w:val="P1"/>
        <w:spacing w:lineRule="exact" w:line="530"/>
        <w:ind w:firstLine="640"/>
        <w:rPr>
          <w:rStyle w:val="C3"/>
          <w:color w:val="000000"/>
          <w:sz w:val="32"/>
        </w:rPr>
      </w:pPr>
      <w:r>
        <w:rPr>
          <w:rStyle w:val="C3"/>
          <w:rFonts w:ascii="方正姚体" w:hAnsi="方正姚体"/>
          <w:color w:val="000000"/>
          <w:sz w:val="32"/>
        </w:rPr>
        <w:t>违反前款规定，假冒巡游出租汽车的，由交通行政执法部门责令停止经营，没收车辆和专用营运标识、设施，有违法所得的，没收违法所得；没有违法所得或者违法所得不足</w:t>
      </w:r>
      <w:r>
        <w:rPr>
          <w:rStyle w:val="C3"/>
          <w:color w:val="000000"/>
          <w:sz w:val="32"/>
        </w:rPr>
        <w:t>2</w:t>
      </w:r>
      <w:r>
        <w:rPr>
          <w:rStyle w:val="C3"/>
          <w:rFonts w:ascii="方正姚体" w:hAnsi="方正姚体"/>
          <w:color w:val="000000"/>
          <w:sz w:val="32"/>
        </w:rPr>
        <w:t>万元的，处</w:t>
      </w:r>
      <w:r>
        <w:rPr>
          <w:rStyle w:val="C3"/>
          <w:color w:val="000000"/>
          <w:sz w:val="32"/>
        </w:rPr>
        <w:t>3</w:t>
      </w:r>
      <w:r>
        <w:rPr>
          <w:rStyle w:val="C3"/>
          <w:rFonts w:ascii="方正姚体" w:hAnsi="方正姚体"/>
          <w:color w:val="000000"/>
          <w:sz w:val="32"/>
        </w:rPr>
        <w:t>万元以上</w:t>
      </w:r>
      <w:r>
        <w:rPr>
          <w:rStyle w:val="C3"/>
          <w:color w:val="000000"/>
          <w:sz w:val="32"/>
        </w:rPr>
        <w:t>10</w:t>
      </w:r>
      <w:r>
        <w:rPr>
          <w:rStyle w:val="C3"/>
          <w:rFonts w:ascii="方正姚体" w:hAnsi="方正姚体"/>
          <w:color w:val="000000"/>
          <w:sz w:val="32"/>
        </w:rPr>
        <w:t>万元以下罚款；违法所得</w:t>
      </w:r>
      <w:r>
        <w:rPr>
          <w:rStyle w:val="C3"/>
          <w:color w:val="000000"/>
          <w:sz w:val="32"/>
        </w:rPr>
        <w:t>2</w:t>
      </w:r>
      <w:r>
        <w:rPr>
          <w:rStyle w:val="C3"/>
          <w:rFonts w:ascii="方正姚体" w:hAnsi="方正姚体"/>
          <w:color w:val="000000"/>
          <w:sz w:val="32"/>
        </w:rPr>
        <w:t>万元以上的，处违法所得</w:t>
      </w:r>
      <w:r>
        <w:rPr>
          <w:rStyle w:val="C3"/>
          <w:color w:val="000000"/>
          <w:sz w:val="32"/>
        </w:rPr>
        <w:t>2</w:t>
      </w:r>
      <w:r>
        <w:rPr>
          <w:rStyle w:val="C3"/>
          <w:rFonts w:ascii="方正姚体" w:hAnsi="方正姚体"/>
          <w:color w:val="000000"/>
          <w:sz w:val="32"/>
        </w:rPr>
        <w:t>倍以上</w:t>
      </w:r>
      <w:r>
        <w:rPr>
          <w:rStyle w:val="C3"/>
          <w:color w:val="000000"/>
          <w:sz w:val="32"/>
        </w:rPr>
        <w:t>10</w:t>
      </w:r>
      <w:r>
        <w:rPr>
          <w:rStyle w:val="C3"/>
          <w:rFonts w:ascii="方正姚体" w:hAnsi="方正姚体"/>
          <w:color w:val="000000"/>
          <w:sz w:val="32"/>
        </w:rPr>
        <w:t>倍以下罚款。</w:t>
      </w:r>
    </w:p>
    <w:p>
      <w:pPr>
        <w:pStyle w:val="P1"/>
        <w:spacing w:lineRule="exact" w:line="530"/>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未经许可擅自从事或者组织从事巡游出租汽车客运经营的，由交通行政执法部门、城市管理综合行政执法机关（以下统称执法部门）依照职责分工责令停止经营，扣押车辆，有违法所得的，没收违法所得；没有违法所得或者违法所得不足</w:t>
      </w:r>
      <w:r>
        <w:rPr>
          <w:rStyle w:val="C3"/>
          <w:color w:val="000000"/>
          <w:sz w:val="32"/>
        </w:rPr>
        <w:t>2</w:t>
      </w:r>
      <w:r>
        <w:rPr>
          <w:rStyle w:val="C3"/>
          <w:rFonts w:ascii="方正姚体" w:hAnsi="方正姚体"/>
          <w:color w:val="000000"/>
          <w:sz w:val="32"/>
        </w:rPr>
        <w:t>万元的，处</w:t>
      </w:r>
      <w:r>
        <w:rPr>
          <w:rStyle w:val="C3"/>
          <w:color w:val="000000"/>
          <w:sz w:val="32"/>
        </w:rPr>
        <w:t>1</w:t>
      </w:r>
      <w:r>
        <w:rPr>
          <w:rStyle w:val="C3"/>
          <w:rFonts w:ascii="方正姚体" w:hAnsi="方正姚体"/>
          <w:color w:val="000000"/>
          <w:sz w:val="32"/>
        </w:rPr>
        <w:t>万元以上</w:t>
      </w:r>
      <w:r>
        <w:rPr>
          <w:rStyle w:val="C3"/>
          <w:color w:val="000000"/>
          <w:sz w:val="32"/>
        </w:rPr>
        <w:t>5</w:t>
      </w:r>
      <w:r>
        <w:rPr>
          <w:rStyle w:val="C3"/>
          <w:rFonts w:ascii="方正姚体" w:hAnsi="方正姚体"/>
          <w:color w:val="000000"/>
          <w:sz w:val="32"/>
        </w:rPr>
        <w:t>万元以下罚款；违法所得</w:t>
      </w:r>
      <w:r>
        <w:rPr>
          <w:rStyle w:val="C3"/>
          <w:color w:val="000000"/>
          <w:sz w:val="32"/>
        </w:rPr>
        <w:t>2</w:t>
      </w:r>
      <w:r>
        <w:rPr>
          <w:rStyle w:val="C3"/>
          <w:rFonts w:ascii="方正姚体" w:hAnsi="方正姚体"/>
          <w:color w:val="000000"/>
          <w:sz w:val="32"/>
        </w:rPr>
        <w:t>万元以上的，处违法所得</w:t>
      </w:r>
      <w:r>
        <w:rPr>
          <w:rStyle w:val="C3"/>
          <w:color w:val="000000"/>
          <w:sz w:val="32"/>
        </w:rPr>
        <w:t>2</w:t>
      </w:r>
      <w:r>
        <w:rPr>
          <w:rStyle w:val="C3"/>
          <w:rFonts w:ascii="方正姚体" w:hAnsi="方正姚体"/>
          <w:color w:val="000000"/>
          <w:sz w:val="32"/>
        </w:rPr>
        <w:t>倍以上</w:t>
      </w:r>
      <w:r>
        <w:rPr>
          <w:rStyle w:val="C3"/>
          <w:color w:val="000000"/>
          <w:sz w:val="32"/>
        </w:rPr>
        <w:t>10</w:t>
      </w:r>
      <w:r>
        <w:rPr>
          <w:rStyle w:val="C3"/>
          <w:rFonts w:ascii="方正姚体" w:hAnsi="方正姚体"/>
          <w:color w:val="000000"/>
          <w:sz w:val="32"/>
        </w:rPr>
        <w:t>倍以下罚款；对非法安装的专用营运标识、设施，予以没收。</w:t>
      </w:r>
    </w:p>
    <w:p>
      <w:pPr>
        <w:pStyle w:val="P1"/>
        <w:spacing w:lineRule="exact" w:line="530"/>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未经许可擅自从事或者组织从事网络预约出租汽车客运经营的，由交通行政执法部门责令停止经营，扣押车辆，并按照国家和本市相关管理规定处以罚款。</w:t>
      </w:r>
    </w:p>
    <w:p>
      <w:pPr>
        <w:pStyle w:val="P1"/>
        <w:spacing w:lineRule="exact" w:line="530"/>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rPr>
        <w:t>驾驶人员有第四条、第五条规定情形之一，从事非法客运经营被执法部门处罚两次的，由公安机关交通管理部门暂扣三个月机动车驾驶证；从事非法客运经营被执法部门处罚三次以上的，由公安机关交通管理部门暂扣六个月机动车驾驶证。</w:t>
      </w:r>
    </w:p>
    <w:p>
      <w:pPr>
        <w:pStyle w:val="P1"/>
        <w:spacing w:lineRule="exact" w:line="530"/>
        <w:ind w:firstLine="640"/>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未经许可擅自从事道路运输班车客运、包车客运、旅游客运经营的，由交通行政执法部门责令停止经营，有违法所得的，没收违法所得；没有违法所得或者违法所得不足</w:t>
      </w:r>
      <w:r>
        <w:rPr>
          <w:rStyle w:val="C3"/>
          <w:color w:val="000000"/>
          <w:sz w:val="32"/>
        </w:rPr>
        <w:t>2</w:t>
      </w:r>
      <w:r>
        <w:rPr>
          <w:rStyle w:val="C3"/>
          <w:rFonts w:ascii="方正姚体" w:hAnsi="方正姚体"/>
          <w:color w:val="000000"/>
          <w:sz w:val="32"/>
        </w:rPr>
        <w:t>万元的，处</w:t>
      </w:r>
      <w:r>
        <w:rPr>
          <w:rStyle w:val="C3"/>
          <w:color w:val="000000"/>
          <w:sz w:val="32"/>
        </w:rPr>
        <w:t>3</w:t>
      </w:r>
      <w:r>
        <w:rPr>
          <w:rStyle w:val="C3"/>
          <w:rFonts w:ascii="方正姚体" w:hAnsi="方正姚体"/>
          <w:color w:val="000000"/>
          <w:sz w:val="32"/>
        </w:rPr>
        <w:t>万元以上</w:t>
      </w:r>
      <w:r>
        <w:rPr>
          <w:rStyle w:val="C3"/>
          <w:color w:val="000000"/>
          <w:sz w:val="32"/>
        </w:rPr>
        <w:t>10</w:t>
      </w:r>
      <w:r>
        <w:rPr>
          <w:rStyle w:val="C3"/>
          <w:rFonts w:ascii="方正姚体" w:hAnsi="方正姚体"/>
          <w:color w:val="000000"/>
          <w:sz w:val="32"/>
        </w:rPr>
        <w:t>万元以下罚款；违法所得</w:t>
      </w:r>
      <w:r>
        <w:rPr>
          <w:rStyle w:val="C3"/>
          <w:color w:val="000000"/>
          <w:sz w:val="32"/>
        </w:rPr>
        <w:t>2</w:t>
      </w:r>
      <w:r>
        <w:rPr>
          <w:rStyle w:val="C3"/>
          <w:rFonts w:ascii="方正姚体" w:hAnsi="方正姚体"/>
          <w:color w:val="000000"/>
          <w:sz w:val="32"/>
        </w:rPr>
        <w:t>万元以上的，处违法所得</w:t>
      </w:r>
      <w:r>
        <w:rPr>
          <w:rStyle w:val="C3"/>
          <w:color w:val="000000"/>
          <w:sz w:val="32"/>
        </w:rPr>
        <w:t>2</w:t>
      </w:r>
      <w:r>
        <w:rPr>
          <w:rStyle w:val="C3"/>
          <w:rFonts w:ascii="方正姚体" w:hAnsi="方正姚体"/>
          <w:color w:val="000000"/>
          <w:sz w:val="32"/>
        </w:rPr>
        <w:t>倍以上</w:t>
      </w:r>
      <w:r>
        <w:rPr>
          <w:rStyle w:val="C3"/>
          <w:color w:val="000000"/>
          <w:sz w:val="32"/>
        </w:rPr>
        <w:t>10</w:t>
      </w:r>
      <w:r>
        <w:rPr>
          <w:rStyle w:val="C3"/>
          <w:rFonts w:ascii="方正姚体" w:hAnsi="方正姚体"/>
          <w:color w:val="000000"/>
          <w:sz w:val="32"/>
        </w:rPr>
        <w:t>倍以下罚款。</w:t>
      </w:r>
    </w:p>
    <w:p>
      <w:pPr>
        <w:pStyle w:val="P1"/>
        <w:spacing w:lineRule="exact" w:line="530"/>
        <w:ind w:firstLine="640"/>
        <w:rPr>
          <w:rStyle w:val="C3"/>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方正姚体" w:hAnsi="方正姚体"/>
          <w:color w:val="000000"/>
          <w:sz w:val="32"/>
        </w:rPr>
        <w:t>禁止利用摩托车、三轮车、残疾人机动轮椅车等车辆从事客运经营。具体车辆类型由市交通行政主管部门会同公安机关交通管理部门和城市管理综合行政执法机关确定，并向社会公示。</w:t>
      </w:r>
    </w:p>
    <w:p>
      <w:pPr>
        <w:pStyle w:val="P1"/>
        <w:spacing w:lineRule="exact" w:line="530"/>
        <w:ind w:firstLine="640"/>
        <w:rPr>
          <w:rStyle w:val="C3"/>
          <w:color w:val="000000"/>
          <w:sz w:val="32"/>
        </w:rPr>
      </w:pPr>
      <w:r>
        <w:rPr>
          <w:rStyle w:val="C3"/>
          <w:rFonts w:ascii="方正姚体" w:hAnsi="方正姚体"/>
          <w:color w:val="000000"/>
          <w:sz w:val="32"/>
        </w:rPr>
        <w:t>违反前款规定的，由城市管理综合行政执法机关没收车辆，没收违法所得，并可处</w:t>
      </w:r>
      <w:r>
        <w:rPr>
          <w:rStyle w:val="C3"/>
          <w:color w:val="000000"/>
          <w:sz w:val="32"/>
        </w:rPr>
        <w:t>500</w:t>
      </w:r>
      <w:r>
        <w:rPr>
          <w:rStyle w:val="C3"/>
          <w:rFonts w:ascii="方正姚体" w:hAnsi="方正姚体"/>
          <w:color w:val="000000"/>
          <w:sz w:val="32"/>
        </w:rPr>
        <w:t>元以上</w:t>
      </w:r>
      <w:r>
        <w:rPr>
          <w:rStyle w:val="C3"/>
          <w:color w:val="000000"/>
          <w:sz w:val="32"/>
        </w:rPr>
        <w:t>2000</w:t>
      </w:r>
      <w:r>
        <w:rPr>
          <w:rStyle w:val="C3"/>
          <w:rFonts w:ascii="方正姚体" w:hAnsi="方正姚体"/>
          <w:color w:val="000000"/>
          <w:sz w:val="32"/>
        </w:rPr>
        <w:t>元以下罚款。</w:t>
      </w:r>
    </w:p>
    <w:p>
      <w:pPr>
        <w:pStyle w:val="P1"/>
        <w:spacing w:lineRule="exact" w:line="530"/>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rPr>
        <w:t>因从事非法客运经营被没收的车辆和物品，由没收车辆或者物品的执法部门依据国家和本市对罚没物品的处理规定依法处置。</w:t>
      </w:r>
    </w:p>
    <w:p>
      <w:pPr>
        <w:pStyle w:val="P1"/>
        <w:spacing w:lineRule="exact" w:line="530"/>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被扣押的非法客运经营车辆属于拼装车或者被扣押时已经达到报废标准的，由扣押车辆的执法部门移送公安机关交通管理部门收缴，强制报废。</w:t>
      </w:r>
    </w:p>
    <w:p>
      <w:pPr>
        <w:pStyle w:val="P1"/>
        <w:spacing w:lineRule="exact" w:line="530"/>
        <w:ind w:firstLine="640"/>
        <w:rPr>
          <w:rStyle w:val="C3"/>
          <w:color w:val="000000"/>
          <w:sz w:val="32"/>
        </w:rPr>
      </w:pPr>
      <w:r>
        <w:rPr>
          <w:rStyle w:val="C3"/>
          <w:rFonts w:ascii="方正姚体" w:hAnsi="方正姚体"/>
          <w:color w:val="000000"/>
          <w:sz w:val="32"/>
        </w:rPr>
        <w:t>非法客运经营车辆在被扣押期间达到报废标准，经公安机关交通管理部门公告车辆登记证书、号牌、行驶证作废的，由扣押车辆的执法部门通知车辆所有人认领并在三个月内自行报废车辆；无法联系车辆所有人的，应当通过公共媒体公告认领。通知车辆所有人或者公告后三个月内仍无人认领的，由扣押车辆的执法部门交机动车回收拆解企业予以报废。</w:t>
      </w:r>
    </w:p>
    <w:p>
      <w:pPr>
        <w:pStyle w:val="P1"/>
        <w:spacing w:lineRule="exact" w:line="530"/>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执法部门在作出扣押决定时，应当向当事人出具《扣押车辆知情书》，告知当事人及时接受处理，非法客运经营车辆被扣押期间的保管费用由执法部门承担，自扣押解除之日起，车辆保管费用由当事人承担。</w:t>
      </w:r>
    </w:p>
    <w:p>
      <w:pPr>
        <w:pStyle w:val="P1"/>
        <w:spacing w:lineRule="exact" w:line="530"/>
        <w:ind w:firstLine="640"/>
        <w:rPr>
          <w:rStyle w:val="C3"/>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方正姚体" w:hAnsi="方正姚体"/>
          <w:color w:val="000000"/>
          <w:sz w:val="32"/>
        </w:rPr>
        <w:t>执法部门应当依法履行职责，根据区域管理现状合理配置执法力量，加大执法巡查力度，提高行政检查频次。</w:t>
      </w:r>
    </w:p>
    <w:p>
      <w:pPr>
        <w:pStyle w:val="P1"/>
        <w:spacing w:lineRule="exact" w:line="530"/>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方正姚体" w:hAnsi="方正姚体"/>
          <w:color w:val="000000"/>
          <w:sz w:val="32"/>
        </w:rPr>
        <w:t>执法部门应当积极宣传客运经营管理法律法规，强化客运经营者遵守客运经营管理法律法规的意识，引导公众乘坐合法经营车辆、配合查处非法客运经营行为。</w:t>
      </w:r>
    </w:p>
    <w:p>
      <w:pPr>
        <w:pStyle w:val="P1"/>
        <w:spacing w:lineRule="exact" w:line="530"/>
        <w:ind w:firstLine="640"/>
        <w:rPr>
          <w:rStyle w:val="C3"/>
          <w:b w:val="1"/>
          <w:color w:val="000000"/>
          <w:sz w:val="32"/>
        </w:rPr>
      </w:pPr>
      <w:r>
        <w:rPr>
          <w:rStyle w:val="C3"/>
          <w:rFonts w:ascii="方正姚体" w:hAnsi="方正姚体"/>
          <w:color w:val="000000"/>
          <w:sz w:val="32"/>
        </w:rPr>
        <w:t>第十四条</w:t>
      </w:r>
      <w:r>
        <w:rPr>
          <w:rStyle w:val="C3"/>
          <w:b w:val="1"/>
          <w:color w:val="000000"/>
          <w:sz w:val="32"/>
        </w:rPr>
        <w:t xml:space="preserve">  </w:t>
      </w:r>
      <w:r>
        <w:rPr>
          <w:rStyle w:val="C3"/>
          <w:rFonts w:ascii="方正姚体" w:hAnsi="方正姚体"/>
          <w:color w:val="000000"/>
          <w:sz w:val="32"/>
        </w:rPr>
        <w:t>本市建立非法客运举报制度，并对社会公开举报受理机构和方式。</w:t>
      </w:r>
    </w:p>
    <w:p>
      <w:pPr>
        <w:pStyle w:val="P1"/>
        <w:spacing w:lineRule="exact" w:line="530"/>
        <w:ind w:firstLine="640"/>
        <w:rPr>
          <w:rStyle w:val="C3"/>
          <w:color w:val="000000"/>
          <w:sz w:val="32"/>
        </w:rPr>
      </w:pPr>
      <w:r>
        <w:rPr>
          <w:rStyle w:val="C3"/>
          <w:rFonts w:ascii="方正姚体" w:hAnsi="方正姚体"/>
          <w:color w:val="000000"/>
          <w:sz w:val="32"/>
        </w:rPr>
        <w:t>执法部门接到举报后，应当按照规定立案调查；经调查举报属实的，及时查处。</w:t>
      </w:r>
    </w:p>
    <w:p>
      <w:pPr>
        <w:pStyle w:val="P1"/>
        <w:spacing w:lineRule="exact" w:line="530"/>
        <w:ind w:firstLine="640"/>
        <w:rPr>
          <w:rStyle w:val="C3"/>
          <w:color w:val="000000"/>
          <w:sz w:val="32"/>
        </w:rPr>
      </w:pPr>
      <w:r>
        <w:rPr>
          <w:rStyle w:val="C3"/>
          <w:rFonts w:ascii="方正姚体" w:hAnsi="方正姚体"/>
          <w:color w:val="000000"/>
          <w:sz w:val="32"/>
        </w:rPr>
        <w:t>第十五条</w:t>
      </w:r>
      <w:r>
        <w:rPr>
          <w:rStyle w:val="C3"/>
          <w:color w:val="000000"/>
          <w:sz w:val="32"/>
        </w:rPr>
        <w:t xml:space="preserve">  </w:t>
      </w:r>
      <w:r>
        <w:rPr>
          <w:rStyle w:val="C3"/>
          <w:rFonts w:ascii="方正姚体" w:hAnsi="方正姚体"/>
          <w:color w:val="000000"/>
          <w:sz w:val="32"/>
        </w:rPr>
        <w:t>执法部门应当将违反本规定的行为记入本市信用信息系统。</w:t>
      </w:r>
    </w:p>
    <w:p>
      <w:pPr>
        <w:pStyle w:val="P1"/>
        <w:spacing w:lineRule="exact" w:line="530"/>
        <w:ind w:firstLine="640"/>
        <w:rPr>
          <w:rStyle w:val="C3"/>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方正姚体" w:hAnsi="方正姚体"/>
          <w:color w:val="000000"/>
          <w:sz w:val="32"/>
        </w:rPr>
        <w:t>本规定自</w:t>
      </w:r>
      <w:r>
        <w:rPr>
          <w:rStyle w:val="C3"/>
          <w:color w:val="000000"/>
          <w:sz w:val="32"/>
        </w:rPr>
        <w:t>2018</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140"/>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59BB7F83"/>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A82497"/>
    <w:multiLevelType w:val="multilevel"/>
    <w:lvl w:ilvl="0">
      <w:start w:val="10"/>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tLeast" w:line="240" w:beforeAutospacing="0" w:afterAutospacing="0"/>
      <w:ind w:firstLine="0"/>
      <w:jc w:val="center"/>
      <w:outlineLvl w:val="0"/>
    </w:pPr>
    <w:rPr>
      <w:sz w:val="44"/>
    </w:rPr>
  </w:style>
  <w:style w:type="paragraph" w:styleId="P3">
    <w:name w:val="标题 2"/>
    <w:basedOn w:val="P1"/>
    <w:next w:val="P1"/>
    <w:qFormat/>
    <w:pPr>
      <w:keepNext w:val="1"/>
      <w:keepLines w:val="1"/>
      <w:spacing w:lineRule="auto" w:line="416" w:before="260" w:after="260"/>
      <w:outlineLvl w:val="1"/>
    </w:pPr>
    <w:rPr>
      <w:rFonts w:ascii="Arial" w:hAnsi="Arial"/>
      <w:b w:val="1"/>
      <w:sz w:val="3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Char"/>
    <w:basedOn w:val="P1"/>
    <w:next w:val="P3"/>
    <w:pPr>
      <w:spacing w:lineRule="atLeast" w:line="300"/>
      <w:jc w:val="center"/>
    </w:pPr>
    <w:rPr>
      <w:sz w:val="44"/>
    </w:rPr>
  </w:style>
  <w:style w:type="paragraph" w:styleId="P10">
    <w:name w:val="正文文本缩进"/>
    <w:basedOn w:val="P1"/>
    <w:next w:val="P10"/>
    <w:link w:val="C6"/>
    <w:pPr>
      <w:widowControl w:val="1"/>
      <w:spacing w:after="120"/>
      <w:ind w:left="420"/>
      <w:jc w:val="left"/>
    </w:pPr>
    <w:rPr>
      <w:rFonts w:ascii="Tahoma" w:hAnsi="Tahom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rtcontent"/>
    <w:rPr>
      <w:rFonts w:ascii="宋体" w:hAnsi="宋体"/>
      <w:sz w:val="32"/>
    </w:rPr>
  </w:style>
  <w:style w:type="character" w:styleId="C5">
    <w:name w:val="页脚 Char"/>
    <w:link w:val="P8"/>
    <w:rPr>
      <w:sz w:val="18"/>
    </w:rPr>
  </w:style>
  <w:style w:type="character" w:styleId="C6">
    <w:name w:val="正文文本缩进 Char"/>
    <w:link w:val="P10"/>
    <w:rPr>
      <w:rFonts w:ascii="Tahoma" w:hAnsi="Tahom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2016-03-24T09:59:00Z</dcterms:created>
  <cp:lastModifiedBy>f1TZOF\f1TZOF-</cp:lastModifiedBy>
  <cp:lastPrinted>2018-08-28T07:59:00Z</cp:lastPrinted>
  <dcterms:modified xsi:type="dcterms:W3CDTF">2024-08-28T01:35:17Z</dcterms:modified>
  <cp:revision>372</cp:revision>
  <dc:title>北京市人民代表大会常务委员会公告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