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F4A" w:rsidRDefault="00EC4F4A">
      <w:pPr>
        <w:shd w:val="clear" w:color="auto" w:fill="FFFFFF"/>
        <w:spacing w:line="560" w:lineRule="exact"/>
        <w:ind w:leftChars="337" w:left="708" w:firstLineChars="200" w:firstLine="640"/>
        <w:rPr>
          <w:rFonts w:ascii="仿宋_GB2312" w:eastAsia="仿宋_GB2312" w:hAnsi="Calibri"/>
          <w:sz w:val="32"/>
          <w:szCs w:val="44"/>
        </w:rPr>
      </w:pPr>
    </w:p>
    <w:p w:rsidR="00EC4F4A" w:rsidRDefault="00EC4F4A">
      <w:pPr>
        <w:shd w:val="clear" w:color="auto" w:fill="FFFFFF"/>
        <w:spacing w:line="560" w:lineRule="exact"/>
        <w:ind w:firstLineChars="200" w:firstLine="640"/>
        <w:rPr>
          <w:rFonts w:ascii="宋体" w:hAnsi="宋体"/>
          <w:sz w:val="32"/>
          <w:szCs w:val="44"/>
        </w:rPr>
      </w:pPr>
    </w:p>
    <w:p w:rsidR="00EC4F4A" w:rsidRDefault="00CC025E">
      <w:pPr>
        <w:shd w:val="clear" w:color="auto" w:fill="FFFFFF"/>
        <w:spacing w:line="560" w:lineRule="exact"/>
        <w:jc w:val="center"/>
        <w:rPr>
          <w:rFonts w:ascii="宋体" w:hAnsi="宋体"/>
          <w:color w:val="000000"/>
          <w:sz w:val="44"/>
          <w:szCs w:val="44"/>
        </w:rPr>
      </w:pPr>
      <w:r>
        <w:rPr>
          <w:rFonts w:ascii="宋体" w:hAnsi="宋体" w:hint="eastAsia"/>
          <w:color w:val="000000"/>
          <w:sz w:val="44"/>
          <w:szCs w:val="44"/>
        </w:rPr>
        <w:t>新疆维吾尔自治区人民代表大会常务委员会</w:t>
      </w:r>
    </w:p>
    <w:p w:rsidR="00EC4F4A" w:rsidRDefault="00CC025E">
      <w:pPr>
        <w:shd w:val="clear" w:color="auto" w:fill="FFFFFF"/>
        <w:spacing w:line="560" w:lineRule="exact"/>
        <w:jc w:val="center"/>
        <w:rPr>
          <w:rFonts w:ascii="宋体" w:hAnsi="宋体" w:cs="仿宋"/>
          <w:sz w:val="44"/>
          <w:szCs w:val="44"/>
        </w:rPr>
      </w:pPr>
      <w:r>
        <w:rPr>
          <w:rFonts w:ascii="宋体" w:hAnsi="宋体" w:cs="Arial" w:hint="eastAsia"/>
          <w:color w:val="000000"/>
          <w:sz w:val="44"/>
          <w:szCs w:val="44"/>
        </w:rPr>
        <w:t>关于自治区</w:t>
      </w:r>
      <w:r>
        <w:rPr>
          <w:rFonts w:ascii="宋体" w:hAnsi="宋体" w:cs="仿宋" w:hint="eastAsia"/>
          <w:sz w:val="44"/>
          <w:szCs w:val="44"/>
        </w:rPr>
        <w:t>资源税具体适用税率、计征</w:t>
      </w:r>
    </w:p>
    <w:p w:rsidR="00EC4F4A" w:rsidRDefault="00CC025E">
      <w:pPr>
        <w:shd w:val="clear" w:color="auto" w:fill="FFFFFF"/>
        <w:spacing w:line="560" w:lineRule="exact"/>
        <w:jc w:val="center"/>
        <w:rPr>
          <w:rFonts w:ascii="宋体" w:hAnsi="宋体" w:cs="仿宋"/>
          <w:sz w:val="44"/>
          <w:szCs w:val="44"/>
        </w:rPr>
      </w:pPr>
      <w:r>
        <w:rPr>
          <w:rFonts w:ascii="宋体" w:hAnsi="宋体" w:cs="仿宋" w:hint="eastAsia"/>
          <w:sz w:val="44"/>
          <w:szCs w:val="44"/>
        </w:rPr>
        <w:t>方式及减免税办法</w:t>
      </w:r>
      <w:r>
        <w:rPr>
          <w:rFonts w:ascii="宋体" w:hAnsi="宋体" w:cs="Arial" w:hint="eastAsia"/>
          <w:color w:val="000000"/>
          <w:sz w:val="44"/>
          <w:szCs w:val="44"/>
        </w:rPr>
        <w:t>的决定</w:t>
      </w:r>
      <w:r>
        <w:rPr>
          <w:rFonts w:ascii="宋体" w:hAnsi="宋体" w:cs="Arial" w:hint="eastAsia"/>
          <w:color w:val="000000"/>
          <w:sz w:val="44"/>
          <w:szCs w:val="44"/>
        </w:rPr>
        <w:t xml:space="preserve"> </w:t>
      </w:r>
    </w:p>
    <w:p w:rsidR="00EC4F4A" w:rsidRDefault="00CC025E">
      <w:pPr>
        <w:shd w:val="clear" w:color="auto" w:fill="FFFFFF"/>
        <w:spacing w:line="560" w:lineRule="exact"/>
        <w:ind w:leftChars="337" w:left="708" w:rightChars="296" w:right="622"/>
        <w:jc w:val="center"/>
        <w:rPr>
          <w:rFonts w:ascii="宋体" w:hAnsi="宋体" w:cs="仿宋"/>
          <w:sz w:val="44"/>
          <w:szCs w:val="44"/>
        </w:rPr>
      </w:pPr>
      <w:r>
        <w:rPr>
          <w:rFonts w:ascii="楷体_GB2312" w:eastAsia="楷体_GB2312" w:hAnsi="楷体" w:cs="Arial" w:hint="eastAsia"/>
          <w:color w:val="000000"/>
          <w:sz w:val="32"/>
          <w:szCs w:val="32"/>
        </w:rPr>
        <w:t>（</w:t>
      </w:r>
      <w:r>
        <w:rPr>
          <w:rFonts w:ascii="楷体_GB2312" w:eastAsia="楷体_GB2312" w:hAnsi="楷体" w:cs="Arial" w:hint="eastAsia"/>
          <w:color w:val="000000"/>
          <w:sz w:val="32"/>
          <w:szCs w:val="32"/>
        </w:rPr>
        <w:t>2020</w:t>
      </w:r>
      <w:r>
        <w:rPr>
          <w:rFonts w:ascii="楷体_GB2312" w:eastAsia="楷体_GB2312" w:hAnsi="楷体" w:cs="Arial" w:hint="eastAsia"/>
          <w:color w:val="000000"/>
          <w:sz w:val="32"/>
          <w:szCs w:val="32"/>
        </w:rPr>
        <w:t>年</w:t>
      </w:r>
      <w:r>
        <w:rPr>
          <w:rFonts w:ascii="楷体_GB2312" w:eastAsia="楷体_GB2312" w:hAnsi="楷体" w:cs="Arial" w:hint="eastAsia"/>
          <w:color w:val="000000"/>
          <w:sz w:val="32"/>
          <w:szCs w:val="32"/>
        </w:rPr>
        <w:t>9</w:t>
      </w:r>
      <w:r>
        <w:rPr>
          <w:rFonts w:ascii="楷体_GB2312" w:eastAsia="楷体_GB2312" w:hAnsi="楷体" w:cs="Arial" w:hint="eastAsia"/>
          <w:color w:val="000000"/>
          <w:sz w:val="32"/>
          <w:szCs w:val="32"/>
        </w:rPr>
        <w:t>月</w:t>
      </w:r>
      <w:r>
        <w:rPr>
          <w:rFonts w:ascii="楷体_GB2312" w:eastAsia="楷体_GB2312" w:hAnsi="楷体" w:cs="Arial" w:hint="eastAsia"/>
          <w:color w:val="000000"/>
          <w:sz w:val="32"/>
          <w:szCs w:val="32"/>
        </w:rPr>
        <w:t xml:space="preserve"> 19</w:t>
      </w:r>
      <w:r>
        <w:rPr>
          <w:rFonts w:ascii="楷体_GB2312" w:eastAsia="楷体_GB2312" w:hAnsi="楷体" w:cs="Arial" w:hint="eastAsia"/>
          <w:color w:val="000000"/>
          <w:sz w:val="32"/>
          <w:szCs w:val="32"/>
        </w:rPr>
        <w:t>日新疆维吾尔自治区第十三届人民代表大会常务委员会第十八次会议通过）</w:t>
      </w:r>
    </w:p>
    <w:p w:rsidR="00EC4F4A" w:rsidRDefault="00EC4F4A">
      <w:pPr>
        <w:spacing w:line="560" w:lineRule="exact"/>
        <w:rPr>
          <w:rFonts w:ascii="仿宋_GB2312" w:eastAsia="仿宋_GB2312"/>
          <w:sz w:val="32"/>
          <w:szCs w:val="32"/>
        </w:rPr>
      </w:pPr>
    </w:p>
    <w:p w:rsidR="00EC4F4A" w:rsidRDefault="00CC025E">
      <w:pPr>
        <w:spacing w:line="560" w:lineRule="exact"/>
        <w:ind w:firstLineChars="200" w:firstLine="640"/>
        <w:rPr>
          <w:rFonts w:ascii="仿宋_GB2312" w:eastAsia="仿宋_GB2312"/>
          <w:sz w:val="32"/>
          <w:szCs w:val="32"/>
        </w:rPr>
      </w:pPr>
      <w:r>
        <w:rPr>
          <w:rFonts w:ascii="仿宋_GB2312" w:eastAsia="仿宋_GB2312" w:hint="eastAsia"/>
          <w:sz w:val="32"/>
          <w:szCs w:val="32"/>
        </w:rPr>
        <w:t>为了促进资源节约集约利用、加强生态环境保护，根据《中华人民共和国资源税法》（以下简称资源税法），综合考虑自治区应税资源的品位、开采条件以及对生态环境的影响等情况，对自治区资源税具体适用税率、计征方式及减免税办法作如下决定：</w:t>
      </w:r>
    </w:p>
    <w:p w:rsidR="00EC4F4A" w:rsidRDefault="00CC025E">
      <w:pPr>
        <w:shd w:val="clear" w:color="auto" w:fill="FFFFFF"/>
        <w:spacing w:line="560" w:lineRule="exact"/>
        <w:ind w:firstLineChars="200" w:firstLine="640"/>
        <w:rPr>
          <w:rFonts w:ascii="仿宋_GB2312" w:eastAsia="仿宋_GB2312"/>
          <w:sz w:val="32"/>
          <w:szCs w:val="32"/>
        </w:rPr>
      </w:pPr>
      <w:r>
        <w:rPr>
          <w:rFonts w:ascii="仿宋_GB2312" w:eastAsia="仿宋_GB2312"/>
          <w:sz w:val="32"/>
          <w:szCs w:val="32"/>
        </w:rPr>
        <w:t>一、资源税法规定实行幅度税率的资源税税目，具体适用税率</w:t>
      </w:r>
      <w:r>
        <w:rPr>
          <w:rFonts w:ascii="仿宋_GB2312" w:eastAsia="仿宋_GB2312" w:hint="eastAsia"/>
          <w:sz w:val="32"/>
          <w:szCs w:val="32"/>
        </w:rPr>
        <w:t>按照本决定所附</w:t>
      </w:r>
      <w:r>
        <w:rPr>
          <w:rFonts w:ascii="仿宋_GB2312" w:eastAsia="仿宋_GB2312"/>
          <w:sz w:val="32"/>
          <w:szCs w:val="32"/>
        </w:rPr>
        <w:t>《新疆维吾尔自治区资源税税目税率表》执行。</w:t>
      </w:r>
      <w:r>
        <w:rPr>
          <w:rFonts w:ascii="仿宋_GB2312" w:eastAsia="仿宋_GB2312"/>
          <w:sz w:val="32"/>
          <w:szCs w:val="32"/>
        </w:rPr>
        <w:br/>
        <w:t xml:space="preserve">    </w:t>
      </w:r>
      <w:r>
        <w:rPr>
          <w:rFonts w:ascii="仿宋_GB2312" w:eastAsia="仿宋_GB2312"/>
          <w:sz w:val="32"/>
          <w:szCs w:val="32"/>
        </w:rPr>
        <w:t>二、资源税法规定可以选择实行从价计征或者从量计征的六个资源税税目</w:t>
      </w:r>
      <w:r>
        <w:rPr>
          <w:rFonts w:ascii="仿宋_GB2312" w:eastAsia="仿宋_GB2312" w:hint="eastAsia"/>
          <w:sz w:val="32"/>
          <w:szCs w:val="32"/>
        </w:rPr>
        <w:t>：</w:t>
      </w:r>
      <w:r>
        <w:rPr>
          <w:rFonts w:ascii="仿宋_GB2312" w:eastAsia="仿宋_GB2312"/>
          <w:sz w:val="32"/>
          <w:szCs w:val="32"/>
        </w:rPr>
        <w:t>地热、石灰岩、矿泉水资源税实行从价计征</w:t>
      </w:r>
      <w:r>
        <w:rPr>
          <w:rFonts w:ascii="仿宋_GB2312" w:eastAsia="仿宋_GB2312" w:hint="eastAsia"/>
          <w:sz w:val="32"/>
          <w:szCs w:val="32"/>
        </w:rPr>
        <w:t>；</w:t>
      </w:r>
      <w:r>
        <w:rPr>
          <w:rFonts w:ascii="仿宋_GB2312" w:eastAsia="仿宋_GB2312"/>
          <w:sz w:val="32"/>
          <w:szCs w:val="32"/>
        </w:rPr>
        <w:t>砂石、其他粘土、天然卤水资源税实行从量计征。</w:t>
      </w:r>
      <w:r>
        <w:rPr>
          <w:rFonts w:ascii="仿宋_GB2312" w:eastAsia="仿宋_GB2312"/>
          <w:sz w:val="32"/>
          <w:szCs w:val="32"/>
        </w:rPr>
        <w:br/>
        <w:t xml:space="preserve">    </w:t>
      </w:r>
      <w:r>
        <w:rPr>
          <w:rFonts w:ascii="仿宋_GB2312" w:eastAsia="仿宋_GB2312"/>
          <w:sz w:val="32"/>
          <w:szCs w:val="32"/>
        </w:rPr>
        <w:t>三、有下</w:t>
      </w:r>
      <w:r>
        <w:rPr>
          <w:rFonts w:ascii="仿宋_GB2312" w:eastAsia="仿宋_GB2312"/>
          <w:sz w:val="32"/>
          <w:szCs w:val="32"/>
        </w:rPr>
        <w:t>列情形之一的，减征或者免征资源税：</w:t>
      </w:r>
      <w:r>
        <w:rPr>
          <w:rFonts w:ascii="仿宋_GB2312" w:eastAsia="仿宋_GB2312"/>
          <w:sz w:val="32"/>
          <w:szCs w:val="32"/>
        </w:rPr>
        <w:br/>
        <w:t xml:space="preserve">    </w:t>
      </w:r>
      <w:r>
        <w:rPr>
          <w:rFonts w:ascii="仿宋_GB2312" w:eastAsia="仿宋_GB2312"/>
          <w:sz w:val="32"/>
          <w:szCs w:val="32"/>
        </w:rPr>
        <w:t>（一）纳税人开采或者生产应税产品过程中，因自</w:t>
      </w:r>
      <w:bookmarkStart w:id="0" w:name="_GoBack"/>
      <w:bookmarkEnd w:id="0"/>
      <w:r>
        <w:rPr>
          <w:rFonts w:ascii="仿宋_GB2312" w:eastAsia="仿宋_GB2312"/>
          <w:sz w:val="32"/>
          <w:szCs w:val="32"/>
        </w:rPr>
        <w:t>然灾害或者不可抗力造成的意外事故等原因遭受重大损失的，自造成损失当月起</w:t>
      </w:r>
      <w:r>
        <w:rPr>
          <w:rFonts w:ascii="仿宋_GB2312" w:eastAsia="仿宋_GB2312"/>
          <w:sz w:val="32"/>
          <w:szCs w:val="32"/>
        </w:rPr>
        <w:t>12</w:t>
      </w:r>
      <w:r>
        <w:rPr>
          <w:rFonts w:ascii="仿宋_GB2312" w:eastAsia="仿宋_GB2312"/>
          <w:sz w:val="32"/>
          <w:szCs w:val="32"/>
        </w:rPr>
        <w:t>个月内减征</w:t>
      </w:r>
      <w:r>
        <w:rPr>
          <w:rFonts w:ascii="仿宋_GB2312" w:eastAsia="仿宋_GB2312"/>
          <w:sz w:val="32"/>
          <w:szCs w:val="32"/>
        </w:rPr>
        <w:t>50%</w:t>
      </w:r>
      <w:r>
        <w:rPr>
          <w:rFonts w:ascii="仿宋_GB2312" w:eastAsia="仿宋_GB2312"/>
          <w:sz w:val="32"/>
          <w:szCs w:val="32"/>
        </w:rPr>
        <w:t>资源税；</w:t>
      </w:r>
      <w:r>
        <w:rPr>
          <w:rFonts w:ascii="仿宋_GB2312" w:eastAsia="仿宋_GB2312"/>
          <w:sz w:val="32"/>
          <w:szCs w:val="32"/>
        </w:rPr>
        <w:br/>
        <w:t xml:space="preserve">    </w:t>
      </w:r>
      <w:r>
        <w:rPr>
          <w:rFonts w:ascii="仿宋_GB2312" w:eastAsia="仿宋_GB2312"/>
          <w:sz w:val="32"/>
          <w:szCs w:val="32"/>
        </w:rPr>
        <w:t>（二）纳税人开采伴生矿，伴生矿与主矿产品销售额分开核</w:t>
      </w:r>
      <w:r>
        <w:rPr>
          <w:rFonts w:ascii="仿宋_GB2312" w:eastAsia="仿宋_GB2312"/>
          <w:sz w:val="32"/>
          <w:szCs w:val="32"/>
        </w:rPr>
        <w:lastRenderedPageBreak/>
        <w:t>算的，伴生矿矿</w:t>
      </w:r>
      <w:r>
        <w:rPr>
          <w:rFonts w:ascii="仿宋_GB2312" w:eastAsia="仿宋_GB2312" w:hint="eastAsia"/>
          <w:sz w:val="32"/>
          <w:szCs w:val="32"/>
        </w:rPr>
        <w:t>产品减征</w:t>
      </w:r>
      <w:r>
        <w:rPr>
          <w:rFonts w:ascii="仿宋_GB2312" w:eastAsia="仿宋_GB2312"/>
          <w:sz w:val="32"/>
          <w:szCs w:val="32"/>
        </w:rPr>
        <w:t>30%</w:t>
      </w:r>
      <w:r>
        <w:rPr>
          <w:rFonts w:ascii="仿宋_GB2312" w:eastAsia="仿宋_GB2312" w:hint="eastAsia"/>
          <w:sz w:val="32"/>
          <w:szCs w:val="32"/>
        </w:rPr>
        <w:t>资源税</w:t>
      </w:r>
      <w:r>
        <w:rPr>
          <w:rFonts w:ascii="仿宋_GB2312" w:eastAsia="仿宋_GB2312"/>
          <w:sz w:val="32"/>
          <w:szCs w:val="32"/>
        </w:rPr>
        <w:t>；</w:t>
      </w:r>
      <w:r>
        <w:rPr>
          <w:rFonts w:ascii="仿宋_GB2312" w:eastAsia="仿宋_GB2312"/>
          <w:sz w:val="32"/>
          <w:szCs w:val="32"/>
        </w:rPr>
        <w:br/>
        <w:t xml:space="preserve">    </w:t>
      </w:r>
      <w:r>
        <w:rPr>
          <w:rFonts w:ascii="仿宋_GB2312" w:eastAsia="仿宋_GB2312"/>
          <w:sz w:val="32"/>
          <w:szCs w:val="32"/>
        </w:rPr>
        <w:t>（三）纳税人开采尾矿</w:t>
      </w:r>
      <w:r>
        <w:rPr>
          <w:rFonts w:ascii="仿宋_GB2312" w:eastAsia="仿宋_GB2312" w:hint="eastAsia"/>
          <w:sz w:val="32"/>
          <w:szCs w:val="32"/>
        </w:rPr>
        <w:t>，</w:t>
      </w:r>
      <w:r>
        <w:rPr>
          <w:rFonts w:ascii="仿宋_GB2312" w:eastAsia="仿宋_GB2312"/>
          <w:sz w:val="32"/>
          <w:szCs w:val="32"/>
        </w:rPr>
        <w:t>免征资源税。</w:t>
      </w:r>
    </w:p>
    <w:p w:rsidR="00EC4F4A" w:rsidRDefault="00CC025E">
      <w:pPr>
        <w:pStyle w:val="HTML"/>
        <w:widowControl/>
        <w:spacing w:line="560" w:lineRule="exact"/>
        <w:ind w:firstLineChars="200" w:firstLine="640"/>
        <w:rPr>
          <w:rFonts w:ascii="仿宋_GB2312" w:eastAsia="仿宋_GB2312" w:hAnsi="Times New Roman" w:hint="default"/>
          <w:kern w:val="2"/>
          <w:sz w:val="32"/>
          <w:szCs w:val="32"/>
        </w:rPr>
      </w:pPr>
      <w:r>
        <w:rPr>
          <w:rFonts w:ascii="仿宋_GB2312" w:eastAsia="仿宋_GB2312" w:hAnsi="Times New Roman"/>
          <w:kern w:val="2"/>
          <w:sz w:val="32"/>
          <w:szCs w:val="32"/>
        </w:rPr>
        <w:t>纳税人符合前款规定的，可以向税务机关申报减征或者免征资源税，并将相关资料留存备查。自然灾害、不可抗力造成的意外事故，由县级以上人民政府应急管理部门认定，伴生矿、尾矿由州、市（地）级以上人民政府自然资源部门认定。</w:t>
      </w:r>
      <w:r>
        <w:rPr>
          <w:rFonts w:ascii="仿宋_GB2312" w:eastAsia="仿宋_GB2312" w:hAnsi="Times New Roman"/>
          <w:kern w:val="2"/>
          <w:sz w:val="32"/>
          <w:szCs w:val="32"/>
        </w:rPr>
        <w:t xml:space="preserve"> </w:t>
      </w:r>
    </w:p>
    <w:p w:rsidR="00EC4F4A" w:rsidRDefault="00CC025E">
      <w:pPr>
        <w:spacing w:line="560" w:lineRule="exact"/>
        <w:ind w:firstLineChars="200" w:firstLine="640"/>
        <w:rPr>
          <w:rFonts w:eastAsia="仿宋_GB2312"/>
          <w:snapToGrid w:val="0"/>
          <w:kern w:val="0"/>
          <w:sz w:val="32"/>
          <w:szCs w:val="32"/>
        </w:rPr>
      </w:pPr>
      <w:r>
        <w:rPr>
          <w:rFonts w:eastAsia="仿宋_GB2312" w:hint="eastAsia"/>
          <w:snapToGrid w:val="0"/>
          <w:kern w:val="0"/>
          <w:sz w:val="32"/>
          <w:szCs w:val="32"/>
        </w:rPr>
        <w:t>四、税务机关与自然资源、应急管理等相关部门应当建立工作配合机制。根据工作需要，税务机关可以要求自然资源、应急管理等部门提供伴生矿、尾矿、自然灾害、意外事故等证明材料以及与减免税相关的其他信息，相关部门应当在税务部门送达书面函件的十五个工作日内给予回复。</w:t>
      </w:r>
    </w:p>
    <w:p w:rsidR="00EC4F4A" w:rsidRDefault="00CC025E">
      <w:pPr>
        <w:pStyle w:val="HTML"/>
        <w:widowControl/>
        <w:spacing w:line="560" w:lineRule="exact"/>
        <w:ind w:firstLineChars="200" w:firstLine="640"/>
        <w:rPr>
          <w:rFonts w:ascii="仿宋_GB2312" w:eastAsia="仿宋_GB2312" w:hAnsi="Times New Roman" w:hint="default"/>
          <w:kern w:val="2"/>
          <w:sz w:val="32"/>
          <w:szCs w:val="32"/>
        </w:rPr>
      </w:pPr>
      <w:r>
        <w:rPr>
          <w:rFonts w:ascii="仿宋_GB2312" w:eastAsia="仿宋_GB2312" w:hAnsi="Times New Roman"/>
          <w:kern w:val="2"/>
          <w:sz w:val="32"/>
          <w:szCs w:val="32"/>
        </w:rPr>
        <w:t>本决定与</w:t>
      </w:r>
      <w:r>
        <w:rPr>
          <w:rFonts w:ascii="仿宋_GB2312" w:eastAsia="仿宋_GB2312"/>
          <w:sz w:val="32"/>
          <w:szCs w:val="32"/>
        </w:rPr>
        <w:t>资源税法同步实施</w:t>
      </w:r>
      <w:r>
        <w:rPr>
          <w:rFonts w:ascii="仿宋_GB2312" w:eastAsia="仿宋_GB2312" w:hAnsi="Times New Roman"/>
          <w:kern w:val="2"/>
          <w:sz w:val="32"/>
          <w:szCs w:val="32"/>
        </w:rPr>
        <w:t>。</w:t>
      </w:r>
    </w:p>
    <w:p w:rsidR="00EC4F4A" w:rsidRDefault="00EC4F4A">
      <w:pPr>
        <w:spacing w:line="560" w:lineRule="exact"/>
        <w:rPr>
          <w:rFonts w:ascii="仿宋_GB2312" w:eastAsia="仿宋_GB2312"/>
          <w:sz w:val="32"/>
          <w:szCs w:val="32"/>
        </w:rPr>
      </w:pPr>
    </w:p>
    <w:p w:rsidR="00EC4F4A" w:rsidRDefault="00CC025E">
      <w:pPr>
        <w:spacing w:line="560" w:lineRule="exact"/>
        <w:ind w:firstLineChars="200" w:firstLine="640"/>
        <w:rPr>
          <w:rFonts w:ascii="仿宋_GB2312" w:eastAsia="仿宋_GB2312"/>
          <w:sz w:val="32"/>
          <w:szCs w:val="32"/>
        </w:rPr>
      </w:pPr>
      <w:r>
        <w:rPr>
          <w:rFonts w:ascii="仿宋_GB2312" w:eastAsia="仿宋_GB2312" w:hint="eastAsia"/>
          <w:sz w:val="32"/>
          <w:szCs w:val="32"/>
        </w:rPr>
        <w:t>附件：新疆维吾尔自治区资源税税目税率表</w:t>
      </w:r>
    </w:p>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p w:rsidR="00EC4F4A" w:rsidRDefault="00EC4F4A"/>
    <w:tbl>
      <w:tblPr>
        <w:tblW w:w="9516" w:type="dxa"/>
        <w:tblInd w:w="93" w:type="dxa"/>
        <w:tblLook w:val="04A0"/>
      </w:tblPr>
      <w:tblGrid>
        <w:gridCol w:w="880"/>
        <w:gridCol w:w="978"/>
        <w:gridCol w:w="302"/>
        <w:gridCol w:w="1180"/>
        <w:gridCol w:w="1920"/>
        <w:gridCol w:w="1380"/>
        <w:gridCol w:w="746"/>
        <w:gridCol w:w="1560"/>
        <w:gridCol w:w="334"/>
        <w:gridCol w:w="236"/>
      </w:tblGrid>
      <w:tr w:rsidR="00EC4F4A">
        <w:trPr>
          <w:trHeight w:val="270"/>
        </w:trPr>
        <w:tc>
          <w:tcPr>
            <w:tcW w:w="880" w:type="dxa"/>
            <w:tcBorders>
              <w:top w:val="nil"/>
              <w:left w:val="nil"/>
              <w:bottom w:val="nil"/>
              <w:right w:val="nil"/>
            </w:tcBorders>
            <w:shd w:val="clear" w:color="auto" w:fill="auto"/>
            <w:noWrap/>
            <w:vAlign w:val="bottom"/>
          </w:tcPr>
          <w:p w:rsidR="00EC4F4A" w:rsidRDefault="00CC025E">
            <w:pPr>
              <w:widowControl/>
              <w:jc w:val="left"/>
              <w:rPr>
                <w:rFonts w:ascii="黑体" w:eastAsia="黑体" w:hAnsi="黑体" w:cs="宋体"/>
                <w:color w:val="000000"/>
                <w:kern w:val="0"/>
                <w:sz w:val="22"/>
                <w:szCs w:val="22"/>
              </w:rPr>
            </w:pPr>
            <w:r>
              <w:rPr>
                <w:rFonts w:ascii="黑体" w:eastAsia="黑体" w:hAnsi="黑体" w:cs="宋体" w:hint="eastAsia"/>
                <w:color w:val="000000"/>
                <w:kern w:val="0"/>
                <w:sz w:val="22"/>
                <w:szCs w:val="22"/>
              </w:rPr>
              <w:lastRenderedPageBreak/>
              <w:t>附</w:t>
            </w:r>
            <w:r>
              <w:rPr>
                <w:rFonts w:ascii="黑体" w:eastAsia="黑体" w:hAnsi="黑体" w:cs="宋体" w:hint="eastAsia"/>
                <w:color w:val="000000"/>
                <w:kern w:val="0"/>
                <w:sz w:val="22"/>
                <w:szCs w:val="22"/>
              </w:rPr>
              <w:t xml:space="preserve"> </w:t>
            </w:r>
            <w:r>
              <w:rPr>
                <w:rFonts w:ascii="黑体" w:eastAsia="黑体" w:hAnsi="黑体" w:cs="宋体" w:hint="eastAsia"/>
                <w:color w:val="000000"/>
                <w:kern w:val="0"/>
                <w:sz w:val="22"/>
                <w:szCs w:val="22"/>
              </w:rPr>
              <w:t>件：</w:t>
            </w:r>
          </w:p>
        </w:tc>
        <w:tc>
          <w:tcPr>
            <w:tcW w:w="1280" w:type="dxa"/>
            <w:gridSpan w:val="2"/>
            <w:tcBorders>
              <w:top w:val="nil"/>
              <w:left w:val="nil"/>
              <w:bottom w:val="nil"/>
              <w:right w:val="nil"/>
            </w:tcBorders>
            <w:shd w:val="clear" w:color="auto" w:fill="auto"/>
            <w:noWrap/>
            <w:vAlign w:val="bottom"/>
          </w:tcPr>
          <w:p w:rsidR="00EC4F4A" w:rsidRDefault="00EC4F4A">
            <w:pPr>
              <w:widowControl/>
              <w:jc w:val="left"/>
              <w:rPr>
                <w:rFonts w:ascii="黑体" w:eastAsia="黑体" w:hAnsi="黑体" w:cs="宋体"/>
                <w:color w:val="000000"/>
                <w:kern w:val="0"/>
                <w:sz w:val="22"/>
                <w:szCs w:val="22"/>
              </w:rPr>
            </w:pPr>
          </w:p>
        </w:tc>
        <w:tc>
          <w:tcPr>
            <w:tcW w:w="1180" w:type="dxa"/>
            <w:tcBorders>
              <w:top w:val="nil"/>
              <w:left w:val="nil"/>
              <w:bottom w:val="nil"/>
              <w:right w:val="nil"/>
            </w:tcBorders>
            <w:shd w:val="clear" w:color="auto" w:fill="auto"/>
            <w:noWrap/>
            <w:vAlign w:val="bottom"/>
          </w:tcPr>
          <w:p w:rsidR="00EC4F4A" w:rsidRDefault="00EC4F4A">
            <w:pPr>
              <w:widowControl/>
              <w:jc w:val="left"/>
              <w:rPr>
                <w:rFonts w:ascii="宋体" w:hAnsi="宋体" w:cs="宋体"/>
                <w:color w:val="000000"/>
                <w:kern w:val="0"/>
                <w:sz w:val="22"/>
                <w:szCs w:val="22"/>
              </w:rPr>
            </w:pPr>
          </w:p>
        </w:tc>
        <w:tc>
          <w:tcPr>
            <w:tcW w:w="3300" w:type="dxa"/>
            <w:gridSpan w:val="2"/>
            <w:tcBorders>
              <w:top w:val="nil"/>
              <w:left w:val="nil"/>
              <w:bottom w:val="nil"/>
              <w:right w:val="nil"/>
            </w:tcBorders>
            <w:shd w:val="clear" w:color="auto" w:fill="auto"/>
            <w:noWrap/>
            <w:vAlign w:val="bottom"/>
          </w:tcPr>
          <w:p w:rsidR="00EC4F4A" w:rsidRDefault="00EC4F4A">
            <w:pPr>
              <w:widowControl/>
              <w:jc w:val="left"/>
              <w:rPr>
                <w:rFonts w:ascii="宋体" w:hAnsi="宋体" w:cs="宋体"/>
                <w:color w:val="000000"/>
                <w:kern w:val="0"/>
                <w:sz w:val="22"/>
                <w:szCs w:val="22"/>
              </w:rPr>
            </w:pPr>
          </w:p>
        </w:tc>
        <w:tc>
          <w:tcPr>
            <w:tcW w:w="2640" w:type="dxa"/>
            <w:gridSpan w:val="3"/>
            <w:tcBorders>
              <w:top w:val="nil"/>
              <w:left w:val="nil"/>
              <w:bottom w:val="nil"/>
              <w:right w:val="nil"/>
            </w:tcBorders>
            <w:shd w:val="clear" w:color="auto" w:fill="auto"/>
            <w:noWrap/>
            <w:vAlign w:val="bottom"/>
          </w:tcPr>
          <w:p w:rsidR="00EC4F4A" w:rsidRDefault="00EC4F4A">
            <w:pPr>
              <w:widowControl/>
              <w:jc w:val="left"/>
              <w:rPr>
                <w:rFonts w:ascii="宋体" w:hAnsi="宋体" w:cs="宋体"/>
                <w:color w:val="000000"/>
                <w:kern w:val="0"/>
                <w:sz w:val="22"/>
                <w:szCs w:val="22"/>
              </w:rPr>
            </w:pPr>
          </w:p>
        </w:tc>
        <w:tc>
          <w:tcPr>
            <w:tcW w:w="236" w:type="dxa"/>
            <w:tcBorders>
              <w:top w:val="nil"/>
              <w:left w:val="nil"/>
              <w:bottom w:val="nil"/>
              <w:right w:val="nil"/>
            </w:tcBorders>
            <w:shd w:val="clear" w:color="auto" w:fill="auto"/>
            <w:noWrap/>
            <w:vAlign w:val="bottom"/>
          </w:tcPr>
          <w:p w:rsidR="00EC4F4A" w:rsidRDefault="00EC4F4A">
            <w:pPr>
              <w:widowControl/>
              <w:jc w:val="left"/>
              <w:rPr>
                <w:rFonts w:ascii="宋体" w:hAnsi="宋体" w:cs="宋体"/>
                <w:color w:val="000000"/>
                <w:kern w:val="0"/>
                <w:sz w:val="22"/>
                <w:szCs w:val="22"/>
              </w:rPr>
            </w:pPr>
          </w:p>
        </w:tc>
      </w:tr>
      <w:tr w:rsidR="00EC4F4A">
        <w:trPr>
          <w:gridAfter w:val="2"/>
          <w:wAfter w:w="570" w:type="dxa"/>
          <w:trHeight w:val="563"/>
        </w:trPr>
        <w:tc>
          <w:tcPr>
            <w:tcW w:w="8946" w:type="dxa"/>
            <w:gridSpan w:val="8"/>
            <w:tcBorders>
              <w:top w:val="nil"/>
              <w:left w:val="nil"/>
              <w:bottom w:val="nil"/>
              <w:right w:val="nil"/>
            </w:tcBorders>
            <w:shd w:val="clear" w:color="auto" w:fill="auto"/>
            <w:vAlign w:val="center"/>
          </w:tcPr>
          <w:p w:rsidR="00BB0798" w:rsidRDefault="00CC025E" w:rsidP="00BB0798">
            <w:pPr>
              <w:widowControl/>
              <w:jc w:val="center"/>
              <w:rPr>
                <w:rFonts w:ascii="方正小标宋_GBK" w:eastAsia="方正小标宋_GBK" w:hAnsi="宋体" w:cs="宋体"/>
                <w:color w:val="000000"/>
                <w:kern w:val="0"/>
                <w:sz w:val="44"/>
                <w:szCs w:val="44"/>
              </w:rPr>
            </w:pPr>
            <w:r>
              <w:rPr>
                <w:rFonts w:ascii="方正小标宋_GBK" w:eastAsia="方正小标宋_GBK" w:hAnsi="宋体" w:cs="宋体" w:hint="eastAsia"/>
                <w:color w:val="000000"/>
                <w:kern w:val="0"/>
                <w:sz w:val="44"/>
                <w:szCs w:val="44"/>
              </w:rPr>
              <w:t>新疆维吾尔自治区资源税税目税率表</w:t>
            </w:r>
          </w:p>
        </w:tc>
      </w:tr>
      <w:tr w:rsidR="00EC4F4A">
        <w:trPr>
          <w:gridAfter w:val="2"/>
          <w:wAfter w:w="570" w:type="dxa"/>
          <w:trHeight w:val="462"/>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b/>
                <w:bCs/>
                <w:color w:val="000000"/>
                <w:kern w:val="0"/>
                <w:sz w:val="28"/>
                <w:szCs w:val="28"/>
              </w:rPr>
            </w:pPr>
            <w:r>
              <w:rPr>
                <w:rFonts w:ascii="宋体" w:hAnsi="宋体" w:cs="宋体" w:hint="eastAsia"/>
                <w:b/>
                <w:bCs/>
                <w:color w:val="000000"/>
                <w:kern w:val="0"/>
                <w:sz w:val="28"/>
                <w:szCs w:val="28"/>
              </w:rPr>
              <w:t>序号</w:t>
            </w:r>
          </w:p>
        </w:tc>
        <w:tc>
          <w:tcPr>
            <w:tcW w:w="4380" w:type="dxa"/>
            <w:gridSpan w:val="4"/>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b/>
                <w:bCs/>
                <w:color w:val="000000"/>
                <w:kern w:val="0"/>
                <w:sz w:val="28"/>
                <w:szCs w:val="28"/>
              </w:rPr>
            </w:pPr>
            <w:r>
              <w:rPr>
                <w:rFonts w:ascii="宋体" w:hAnsi="宋体" w:cs="宋体" w:hint="eastAsia"/>
                <w:b/>
                <w:bCs/>
                <w:color w:val="000000"/>
                <w:kern w:val="0"/>
                <w:sz w:val="28"/>
                <w:szCs w:val="28"/>
              </w:rPr>
              <w:t>税</w:t>
            </w:r>
            <w:r>
              <w:rPr>
                <w:rFonts w:ascii="宋体" w:hAnsi="宋体" w:cs="宋体" w:hint="eastAsia"/>
                <w:b/>
                <w:bCs/>
                <w:color w:val="000000"/>
                <w:kern w:val="0"/>
                <w:sz w:val="28"/>
                <w:szCs w:val="28"/>
              </w:rPr>
              <w:t xml:space="preserve">               </w:t>
            </w:r>
            <w:r>
              <w:rPr>
                <w:rFonts w:ascii="宋体" w:hAnsi="宋体" w:cs="宋体" w:hint="eastAsia"/>
                <w:b/>
                <w:bCs/>
                <w:color w:val="000000"/>
                <w:kern w:val="0"/>
                <w:sz w:val="28"/>
                <w:szCs w:val="28"/>
              </w:rPr>
              <w:t>目</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b/>
                <w:bCs/>
                <w:color w:val="000000"/>
                <w:kern w:val="0"/>
                <w:sz w:val="28"/>
                <w:szCs w:val="28"/>
              </w:rPr>
            </w:pPr>
            <w:r>
              <w:rPr>
                <w:rFonts w:ascii="宋体" w:hAnsi="宋体" w:cs="宋体" w:hint="eastAsia"/>
                <w:b/>
                <w:bCs/>
                <w:color w:val="000000"/>
                <w:kern w:val="0"/>
                <w:sz w:val="28"/>
                <w:szCs w:val="28"/>
              </w:rPr>
              <w:t>征税对象</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rFonts w:ascii="宋体" w:hAnsi="宋体" w:cs="宋体"/>
                <w:b/>
                <w:bCs/>
                <w:color w:val="000000"/>
                <w:kern w:val="0"/>
                <w:sz w:val="28"/>
                <w:szCs w:val="28"/>
              </w:rPr>
            </w:pPr>
            <w:r>
              <w:rPr>
                <w:rFonts w:ascii="宋体" w:hAnsi="宋体" w:cs="宋体" w:hint="eastAsia"/>
                <w:b/>
                <w:bCs/>
                <w:color w:val="000000"/>
                <w:kern w:val="0"/>
                <w:sz w:val="28"/>
                <w:szCs w:val="28"/>
              </w:rPr>
              <w:t>税率</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9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能源矿产（</w:t>
            </w:r>
            <w:r>
              <w:rPr>
                <w:rFonts w:ascii="宋体" w:hAnsi="宋体" w:cs="宋体" w:hint="eastAsia"/>
                <w:color w:val="000000"/>
                <w:kern w:val="0"/>
                <w:szCs w:val="21"/>
              </w:rPr>
              <w:t>6</w:t>
            </w:r>
            <w:r>
              <w:rPr>
                <w:rFonts w:ascii="宋体" w:hAnsi="宋体" w:cs="宋体" w:hint="eastAsia"/>
                <w:color w:val="000000"/>
                <w:kern w:val="0"/>
                <w:szCs w:val="21"/>
              </w:rPr>
              <w:t>个）</w:t>
            </w:r>
          </w:p>
        </w:tc>
        <w:tc>
          <w:tcPr>
            <w:tcW w:w="3402"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煤</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煤成（层）气</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油页岩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color w:val="000000"/>
                <w:kern w:val="0"/>
                <w:szCs w:val="21"/>
              </w:rPr>
            </w:pPr>
            <w:r>
              <w:rPr>
                <w:color w:val="000000"/>
                <w:kern w:val="0"/>
                <w:szCs w:val="21"/>
              </w:rPr>
              <w:t>1.50%</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油砂</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color w:val="000000"/>
                <w:kern w:val="0"/>
                <w:szCs w:val="21"/>
              </w:rPr>
            </w:pPr>
            <w:r>
              <w:rPr>
                <w:color w:val="000000"/>
                <w:kern w:val="0"/>
                <w:szCs w:val="21"/>
              </w:rPr>
              <w:t>1.50%</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color w:val="000000"/>
                <w:kern w:val="0"/>
                <w:szCs w:val="21"/>
              </w:rPr>
            </w:pPr>
            <w:r>
              <w:rPr>
                <w:color w:val="000000"/>
                <w:kern w:val="0"/>
                <w:szCs w:val="21"/>
              </w:rPr>
              <w:t>1%</w:t>
            </w:r>
          </w:p>
        </w:tc>
      </w:tr>
      <w:tr w:rsidR="00EC4F4A">
        <w:trPr>
          <w:gridAfter w:val="2"/>
          <w:wAfter w:w="570" w:type="dxa"/>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5</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地热</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天然沥青</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7</w:t>
            </w:r>
          </w:p>
        </w:tc>
        <w:tc>
          <w:tcPr>
            <w:tcW w:w="9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金属矿产（</w:t>
            </w:r>
            <w:r>
              <w:rPr>
                <w:rFonts w:ascii="宋体" w:hAnsi="宋体" w:cs="宋体" w:hint="eastAsia"/>
                <w:color w:val="000000"/>
                <w:kern w:val="0"/>
                <w:szCs w:val="21"/>
              </w:rPr>
              <w:t>32</w:t>
            </w:r>
            <w:r>
              <w:rPr>
                <w:rFonts w:ascii="宋体" w:hAnsi="宋体" w:cs="宋体" w:hint="eastAsia"/>
                <w:color w:val="000000"/>
                <w:kern w:val="0"/>
                <w:szCs w:val="21"/>
              </w:rPr>
              <w:t>个）</w:t>
            </w:r>
          </w:p>
        </w:tc>
        <w:tc>
          <w:tcPr>
            <w:tcW w:w="148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黑色金属（</w:t>
            </w:r>
            <w:r>
              <w:rPr>
                <w:rFonts w:ascii="宋体" w:hAnsi="宋体" w:cs="宋体" w:hint="eastAsia"/>
                <w:color w:val="000000"/>
                <w:kern w:val="0"/>
                <w:szCs w:val="21"/>
              </w:rPr>
              <w:t>5</w:t>
            </w:r>
            <w:r>
              <w:rPr>
                <w:rFonts w:ascii="宋体" w:hAnsi="宋体" w:cs="宋体" w:hint="eastAsia"/>
                <w:color w:val="000000"/>
                <w:kern w:val="0"/>
                <w:szCs w:val="21"/>
              </w:rPr>
              <w:t>个）</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铁</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8.50%</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锰</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9</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铬</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10-11</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钒、钛</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12-13</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有色金属（</w:t>
            </w:r>
            <w:r>
              <w:rPr>
                <w:rFonts w:ascii="宋体" w:hAnsi="宋体" w:cs="宋体" w:hint="eastAsia"/>
                <w:color w:val="000000"/>
                <w:kern w:val="0"/>
                <w:szCs w:val="21"/>
              </w:rPr>
              <w:t>27</w:t>
            </w:r>
            <w:r>
              <w:rPr>
                <w:rFonts w:ascii="宋体" w:hAnsi="宋体" w:cs="宋体" w:hint="eastAsia"/>
                <w:color w:val="000000"/>
                <w:kern w:val="0"/>
                <w:szCs w:val="21"/>
              </w:rPr>
              <w:t>个）</w:t>
            </w:r>
          </w:p>
        </w:tc>
        <w:tc>
          <w:tcPr>
            <w:tcW w:w="1920"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铜、镍</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14-15</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铅、锌</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10%</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16-17</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锡、锑</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18</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铝土矿</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7%</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19</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金</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20</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铍</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5.50%</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21</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锂</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22</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钴</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23-24</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铋、镁</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25</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银</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26-27</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铂、钯</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28</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锶</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30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29-35</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 w:val="18"/>
                <w:szCs w:val="18"/>
              </w:rPr>
            </w:pPr>
            <w:r>
              <w:rPr>
                <w:rFonts w:ascii="宋体" w:hAnsi="宋体" w:cs="宋体" w:hint="eastAsia"/>
                <w:color w:val="000000"/>
                <w:kern w:val="0"/>
                <w:sz w:val="18"/>
                <w:szCs w:val="18"/>
              </w:rPr>
              <w:t>铷、铯、镓、铟、镉、硒、碲</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 w:val="18"/>
                <w:szCs w:val="18"/>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36</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铌</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37</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钽</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10%</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38</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锗</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39</w:t>
            </w:r>
          </w:p>
        </w:tc>
        <w:tc>
          <w:tcPr>
            <w:tcW w:w="9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非金属矿产（</w:t>
            </w:r>
            <w:r>
              <w:rPr>
                <w:rFonts w:ascii="宋体" w:hAnsi="宋体" w:cs="宋体" w:hint="eastAsia"/>
                <w:color w:val="000000"/>
                <w:kern w:val="0"/>
                <w:szCs w:val="21"/>
              </w:rPr>
              <w:t>59</w:t>
            </w:r>
            <w:r>
              <w:rPr>
                <w:rFonts w:ascii="宋体" w:hAnsi="宋体" w:cs="宋体" w:hint="eastAsia"/>
                <w:color w:val="000000"/>
                <w:kern w:val="0"/>
                <w:szCs w:val="21"/>
              </w:rPr>
              <w:t>个）</w:t>
            </w:r>
          </w:p>
        </w:tc>
        <w:tc>
          <w:tcPr>
            <w:tcW w:w="148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矿物类（</w:t>
            </w:r>
            <w:r>
              <w:rPr>
                <w:rFonts w:ascii="宋体" w:hAnsi="宋体" w:cs="宋体" w:hint="eastAsia"/>
                <w:color w:val="000000"/>
                <w:kern w:val="0"/>
                <w:szCs w:val="21"/>
              </w:rPr>
              <w:t>36</w:t>
            </w:r>
            <w:r>
              <w:rPr>
                <w:rFonts w:ascii="宋体" w:hAnsi="宋体" w:cs="宋体" w:hint="eastAsia"/>
                <w:color w:val="000000"/>
                <w:kern w:val="0"/>
                <w:szCs w:val="21"/>
              </w:rPr>
              <w:t>个）</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高岭土</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40</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石灰岩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41</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磷</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7.50%</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42</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石墨</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43-44</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萤石、硫铁矿</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45-46</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 w:val="16"/>
                <w:szCs w:val="16"/>
              </w:rPr>
            </w:pPr>
            <w:r>
              <w:rPr>
                <w:rFonts w:ascii="宋体" w:hAnsi="宋体" w:cs="宋体" w:hint="eastAsia"/>
                <w:color w:val="000000"/>
                <w:kern w:val="0"/>
                <w:sz w:val="16"/>
                <w:szCs w:val="16"/>
              </w:rPr>
              <w:t>天然石英砂、脉石英</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 w:val="16"/>
                <w:szCs w:val="16"/>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47</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长石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48</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滑石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9%</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49</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菱镁矿</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10%</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50-51</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芒硝、钠硝石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52</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膨润土</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32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53</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陶瓷土</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32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1.50%</w:t>
            </w:r>
          </w:p>
        </w:tc>
      </w:tr>
      <w:tr w:rsidR="00EC4F4A">
        <w:trPr>
          <w:gridAfter w:val="2"/>
          <w:wAfter w:w="570" w:type="dxa"/>
          <w:trHeight w:val="30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54</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硅灰石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10%</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8.50%</w:t>
            </w:r>
          </w:p>
        </w:tc>
      </w:tr>
      <w:tr w:rsidR="00EC4F4A">
        <w:trPr>
          <w:gridAfter w:val="2"/>
          <w:wAfter w:w="570" w:type="dxa"/>
          <w:trHeight w:val="27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55</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珍珠岩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252"/>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56-57</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云母、石棉</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20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338"/>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58-59</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毒重石、石榴子石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27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60-61</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蛭石、红柱石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203"/>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62</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石膏</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12%</w:t>
            </w:r>
          </w:p>
        </w:tc>
      </w:tr>
      <w:tr w:rsidR="00EC4F4A">
        <w:trPr>
          <w:gridAfter w:val="2"/>
          <w:wAfter w:w="570" w:type="dxa"/>
          <w:trHeight w:val="229"/>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8.50%</w:t>
            </w:r>
          </w:p>
        </w:tc>
      </w:tr>
      <w:tr w:rsidR="00EC4F4A">
        <w:trPr>
          <w:gridAfter w:val="2"/>
          <w:wAfter w:w="570" w:type="dxa"/>
          <w:trHeight w:val="27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63-64</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叶腊石、沸石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36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65</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left"/>
              <w:rPr>
                <w:rFonts w:ascii="宋体" w:hAnsi="宋体" w:cs="宋体"/>
                <w:color w:val="000000"/>
                <w:kern w:val="0"/>
                <w:sz w:val="16"/>
                <w:szCs w:val="16"/>
              </w:rPr>
            </w:pPr>
            <w:r>
              <w:rPr>
                <w:rFonts w:ascii="宋体" w:hAnsi="宋体" w:cs="宋体" w:hint="eastAsia"/>
                <w:color w:val="000000"/>
                <w:kern w:val="0"/>
                <w:sz w:val="16"/>
                <w:szCs w:val="16"/>
              </w:rPr>
              <w:t>其他粘土（铸型用粘土、砖瓦用粘土、陶粒用粘土、水泥配料用粘土、水泥配料用红土、水泥配料用黄土、水泥配料用泥岩、保温材料用粘土）</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w:t>
            </w:r>
            <w:r>
              <w:rPr>
                <w:rFonts w:ascii="仿宋_GB2312" w:eastAsia="仿宋_GB2312" w:hint="eastAsia"/>
                <w:color w:val="000000"/>
                <w:kern w:val="0"/>
                <w:szCs w:val="21"/>
              </w:rPr>
              <w:t>元</w:t>
            </w:r>
            <w:r>
              <w:rPr>
                <w:color w:val="000000"/>
                <w:kern w:val="0"/>
                <w:szCs w:val="21"/>
              </w:rPr>
              <w:t>/</w:t>
            </w:r>
            <w:r>
              <w:rPr>
                <w:rFonts w:ascii="仿宋_GB2312" w:eastAsia="仿宋_GB2312" w:hint="eastAsia"/>
                <w:color w:val="000000"/>
                <w:kern w:val="0"/>
                <w:szCs w:val="21"/>
              </w:rPr>
              <w:t>立方米</w:t>
            </w:r>
          </w:p>
        </w:tc>
      </w:tr>
      <w:tr w:rsidR="00EC4F4A">
        <w:trPr>
          <w:gridAfter w:val="2"/>
          <w:wAfter w:w="570" w:type="dxa"/>
          <w:trHeight w:val="409"/>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 w:val="16"/>
                <w:szCs w:val="16"/>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1.3</w:t>
            </w:r>
            <w:r>
              <w:rPr>
                <w:rFonts w:ascii="仿宋_GB2312" w:eastAsia="仿宋_GB2312" w:hint="eastAsia"/>
                <w:color w:val="000000"/>
                <w:kern w:val="0"/>
                <w:szCs w:val="21"/>
              </w:rPr>
              <w:t>元</w:t>
            </w:r>
            <w:r>
              <w:rPr>
                <w:color w:val="000000"/>
                <w:kern w:val="0"/>
                <w:szCs w:val="21"/>
              </w:rPr>
              <w:t>/</w:t>
            </w:r>
            <w:r>
              <w:rPr>
                <w:rFonts w:ascii="仿宋_GB2312" w:eastAsia="仿宋_GB2312" w:hint="eastAsia"/>
                <w:color w:val="000000"/>
                <w:kern w:val="0"/>
                <w:szCs w:val="21"/>
              </w:rPr>
              <w:t>立方米</w:t>
            </w:r>
          </w:p>
        </w:tc>
      </w:tr>
      <w:tr w:rsidR="00EC4F4A">
        <w:trPr>
          <w:gridAfter w:val="2"/>
          <w:wAfter w:w="570" w:type="dxa"/>
          <w:trHeight w:val="274"/>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66</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自然硫</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244"/>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252"/>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67</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粉石英</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229"/>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252"/>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68</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耐火粘土</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7%</w:t>
            </w:r>
          </w:p>
        </w:tc>
      </w:tr>
      <w:tr w:rsidR="00EC4F4A">
        <w:trPr>
          <w:gridAfter w:val="2"/>
          <w:wAfter w:w="570" w:type="dxa"/>
          <w:trHeight w:val="267"/>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195"/>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69-72</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 w:val="18"/>
                <w:szCs w:val="18"/>
              </w:rPr>
            </w:pPr>
            <w:r>
              <w:rPr>
                <w:rFonts w:ascii="宋体" w:hAnsi="宋体" w:cs="宋体" w:hint="eastAsia"/>
                <w:color w:val="000000"/>
                <w:kern w:val="0"/>
                <w:sz w:val="18"/>
                <w:szCs w:val="18"/>
              </w:rPr>
              <w:t>明矾石、水晶、砷、硼、</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203"/>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 w:val="18"/>
                <w:szCs w:val="18"/>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218"/>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73</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重晶石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267"/>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158"/>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74</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方解石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218"/>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289"/>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75-76</w:t>
            </w:r>
          </w:p>
        </w:tc>
        <w:tc>
          <w:tcPr>
            <w:tcW w:w="9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非金属矿产（</w:t>
            </w:r>
            <w:r>
              <w:rPr>
                <w:rFonts w:ascii="宋体" w:hAnsi="宋体" w:cs="宋体" w:hint="eastAsia"/>
                <w:color w:val="000000"/>
                <w:kern w:val="0"/>
                <w:szCs w:val="21"/>
              </w:rPr>
              <w:t>59</w:t>
            </w:r>
            <w:r>
              <w:rPr>
                <w:rFonts w:ascii="宋体" w:hAnsi="宋体" w:cs="宋体" w:hint="eastAsia"/>
                <w:color w:val="000000"/>
                <w:kern w:val="0"/>
                <w:szCs w:val="21"/>
              </w:rPr>
              <w:t>个）</w:t>
            </w:r>
          </w:p>
        </w:tc>
        <w:tc>
          <w:tcPr>
            <w:tcW w:w="148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岩石类（</w:t>
            </w:r>
            <w:r>
              <w:rPr>
                <w:rFonts w:ascii="宋体" w:hAnsi="宋体" w:cs="宋体" w:hint="eastAsia"/>
                <w:color w:val="000000"/>
                <w:kern w:val="0"/>
                <w:szCs w:val="21"/>
              </w:rPr>
              <w:t>21</w:t>
            </w:r>
            <w:r>
              <w:rPr>
                <w:rFonts w:ascii="宋体" w:hAnsi="宋体" w:cs="宋体" w:hint="eastAsia"/>
                <w:color w:val="000000"/>
                <w:kern w:val="0"/>
                <w:szCs w:val="21"/>
              </w:rPr>
              <w:t>个）</w:t>
            </w:r>
          </w:p>
        </w:tc>
        <w:tc>
          <w:tcPr>
            <w:tcW w:w="1920"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大理岩、花岗岩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27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77</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白云岩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10%</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w:t>
            </w:r>
          </w:p>
        </w:tc>
      </w:tr>
      <w:tr w:rsidR="00EC4F4A">
        <w:trPr>
          <w:gridAfter w:val="2"/>
          <w:wAfter w:w="570" w:type="dxa"/>
          <w:trHeight w:val="27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lastRenderedPageBreak/>
              <w:t>78</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石英岩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289"/>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79-83</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 w:val="18"/>
                <w:szCs w:val="18"/>
              </w:rPr>
            </w:pPr>
            <w:r>
              <w:rPr>
                <w:rFonts w:ascii="宋体" w:hAnsi="宋体" w:cs="宋体" w:hint="eastAsia"/>
                <w:color w:val="000000"/>
                <w:kern w:val="0"/>
                <w:sz w:val="18"/>
                <w:szCs w:val="18"/>
              </w:rPr>
              <w:t>砂岩、安山岩、玄武岩、角闪岩、页岩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 w:val="18"/>
                <w:szCs w:val="18"/>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338"/>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84-85</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辉绿岩、蛇纹岩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1.50%</w:t>
            </w:r>
          </w:p>
        </w:tc>
      </w:tr>
      <w:tr w:rsidR="00EC4F4A">
        <w:trPr>
          <w:gridAfter w:val="2"/>
          <w:wAfter w:w="570" w:type="dxa"/>
          <w:trHeight w:val="252"/>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86-90</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 w:val="12"/>
                <w:szCs w:val="12"/>
              </w:rPr>
            </w:pPr>
            <w:r>
              <w:rPr>
                <w:rFonts w:ascii="宋体" w:hAnsi="宋体" w:cs="宋体" w:hint="eastAsia"/>
                <w:color w:val="000000"/>
                <w:kern w:val="0"/>
                <w:sz w:val="12"/>
                <w:szCs w:val="12"/>
              </w:rPr>
              <w:t>泥灰岩、辉长岩、板岩、闪长岩、霞石正长岩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 w:val="12"/>
                <w:szCs w:val="12"/>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27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91</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泥炭</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5%</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3.50%</w:t>
            </w:r>
          </w:p>
        </w:tc>
      </w:tr>
      <w:tr w:rsidR="00EC4F4A">
        <w:trPr>
          <w:gridAfter w:val="2"/>
          <w:wAfter w:w="570" w:type="dxa"/>
          <w:trHeight w:val="424"/>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92-93</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片麻岩、辉石岩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4%</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270"/>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94</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凝灰岩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2.50%</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2%</w:t>
            </w:r>
          </w:p>
        </w:tc>
      </w:tr>
      <w:tr w:rsidR="00EC4F4A">
        <w:trPr>
          <w:gridAfter w:val="2"/>
          <w:wAfter w:w="570" w:type="dxa"/>
          <w:trHeight w:val="349"/>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95</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砂石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w:t>
            </w:r>
            <w:r>
              <w:rPr>
                <w:rFonts w:ascii="仿宋_GB2312" w:eastAsia="仿宋_GB2312" w:hint="eastAsia"/>
                <w:color w:val="000000"/>
                <w:kern w:val="0"/>
                <w:szCs w:val="21"/>
              </w:rPr>
              <w:t>元</w:t>
            </w:r>
            <w:r>
              <w:rPr>
                <w:color w:val="000000"/>
                <w:kern w:val="0"/>
                <w:szCs w:val="21"/>
              </w:rPr>
              <w:t>/</w:t>
            </w:r>
            <w:r>
              <w:rPr>
                <w:rFonts w:ascii="仿宋_GB2312" w:eastAsia="仿宋_GB2312" w:hint="eastAsia"/>
                <w:color w:val="000000"/>
                <w:kern w:val="0"/>
                <w:szCs w:val="21"/>
              </w:rPr>
              <w:t>立方米</w:t>
            </w:r>
          </w:p>
        </w:tc>
      </w:tr>
      <w:tr w:rsidR="00EC4F4A">
        <w:trPr>
          <w:gridAfter w:val="2"/>
          <w:wAfter w:w="570" w:type="dxa"/>
          <w:trHeight w:val="312"/>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 w:val="18"/>
                <w:szCs w:val="18"/>
              </w:rPr>
            </w:pPr>
            <w:r>
              <w:rPr>
                <w:color w:val="000000"/>
                <w:kern w:val="0"/>
                <w:sz w:val="18"/>
                <w:szCs w:val="18"/>
              </w:rPr>
              <w:t>1.3</w:t>
            </w:r>
            <w:r>
              <w:rPr>
                <w:rFonts w:ascii="仿宋_GB2312" w:eastAsia="仿宋_GB2312" w:hint="eastAsia"/>
                <w:color w:val="000000"/>
                <w:kern w:val="0"/>
                <w:sz w:val="18"/>
                <w:szCs w:val="18"/>
              </w:rPr>
              <w:t>元</w:t>
            </w:r>
            <w:r>
              <w:rPr>
                <w:color w:val="000000"/>
                <w:kern w:val="0"/>
                <w:sz w:val="18"/>
                <w:szCs w:val="18"/>
              </w:rPr>
              <w:t>/</w:t>
            </w:r>
            <w:r>
              <w:rPr>
                <w:rFonts w:ascii="仿宋_GB2312" w:eastAsia="仿宋_GB2312" w:hint="eastAsia"/>
                <w:color w:val="000000"/>
                <w:kern w:val="0"/>
                <w:sz w:val="18"/>
                <w:szCs w:val="18"/>
              </w:rPr>
              <w:t>立方米</w:t>
            </w:r>
          </w:p>
        </w:tc>
      </w:tr>
      <w:tr w:rsidR="00EC4F4A">
        <w:trPr>
          <w:gridAfter w:val="2"/>
          <w:wAfter w:w="570" w:type="dxa"/>
          <w:trHeight w:val="274"/>
        </w:trPr>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96-97</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宝玉石类（</w:t>
            </w:r>
            <w:r>
              <w:rPr>
                <w:rFonts w:ascii="宋体" w:hAnsi="宋体" w:cs="宋体" w:hint="eastAsia"/>
                <w:color w:val="000000"/>
                <w:kern w:val="0"/>
                <w:szCs w:val="21"/>
              </w:rPr>
              <w:t>2</w:t>
            </w:r>
            <w:r>
              <w:rPr>
                <w:rFonts w:ascii="宋体" w:hAnsi="宋体" w:cs="宋体" w:hint="eastAsia"/>
                <w:color w:val="000000"/>
                <w:kern w:val="0"/>
                <w:szCs w:val="21"/>
              </w:rPr>
              <w:t>个）</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宝石、玉石</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10%</w:t>
            </w:r>
          </w:p>
        </w:tc>
      </w:tr>
      <w:tr w:rsidR="00EC4F4A">
        <w:trPr>
          <w:gridAfter w:val="2"/>
          <w:wAfter w:w="570" w:type="dxa"/>
          <w:trHeight w:val="270"/>
        </w:trPr>
        <w:tc>
          <w:tcPr>
            <w:tcW w:w="88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482" w:type="dxa"/>
            <w:gridSpan w:val="2"/>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1920"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8%</w:t>
            </w:r>
          </w:p>
        </w:tc>
      </w:tr>
      <w:tr w:rsidR="00EC4F4A">
        <w:trPr>
          <w:gridAfter w:val="2"/>
          <w:wAfter w:w="570" w:type="dxa"/>
          <w:trHeight w:val="492"/>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98</w:t>
            </w:r>
          </w:p>
        </w:tc>
        <w:tc>
          <w:tcPr>
            <w:tcW w:w="978" w:type="dxa"/>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水气矿产（</w:t>
            </w:r>
            <w:r>
              <w:rPr>
                <w:rFonts w:ascii="宋体" w:hAnsi="宋体" w:cs="宋体" w:hint="eastAsia"/>
                <w:color w:val="000000"/>
                <w:kern w:val="0"/>
                <w:szCs w:val="21"/>
              </w:rPr>
              <w:t>1</w:t>
            </w:r>
            <w:r>
              <w:rPr>
                <w:rFonts w:ascii="宋体" w:hAnsi="宋体" w:cs="宋体" w:hint="eastAsia"/>
                <w:color w:val="000000"/>
                <w:kern w:val="0"/>
                <w:szCs w:val="21"/>
              </w:rPr>
              <w:t>个）</w:t>
            </w:r>
          </w:p>
        </w:tc>
        <w:tc>
          <w:tcPr>
            <w:tcW w:w="3402" w:type="dxa"/>
            <w:gridSpan w:val="3"/>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矿泉水</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p>
        </w:tc>
      </w:tr>
      <w:tr w:rsidR="00EC4F4A">
        <w:trPr>
          <w:gridAfter w:val="2"/>
          <w:wAfter w:w="570" w:type="dxa"/>
          <w:trHeight w:val="27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99</w:t>
            </w:r>
          </w:p>
        </w:tc>
        <w:tc>
          <w:tcPr>
            <w:tcW w:w="9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盐（</w:t>
            </w:r>
            <w:r>
              <w:rPr>
                <w:rFonts w:ascii="宋体" w:hAnsi="宋体" w:cs="宋体" w:hint="eastAsia"/>
                <w:color w:val="000000"/>
                <w:kern w:val="0"/>
                <w:szCs w:val="21"/>
              </w:rPr>
              <w:t>4</w:t>
            </w:r>
            <w:r>
              <w:rPr>
                <w:rFonts w:ascii="宋体" w:hAnsi="宋体" w:cs="宋体" w:hint="eastAsia"/>
                <w:color w:val="000000"/>
                <w:kern w:val="0"/>
                <w:szCs w:val="21"/>
              </w:rPr>
              <w:t>个）</w:t>
            </w:r>
          </w:p>
        </w:tc>
        <w:tc>
          <w:tcPr>
            <w:tcW w:w="3402" w:type="dxa"/>
            <w:gridSpan w:val="3"/>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钠盐</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6%</w:t>
            </w:r>
          </w:p>
        </w:tc>
      </w:tr>
      <w:tr w:rsidR="00EC4F4A">
        <w:trPr>
          <w:gridAfter w:val="2"/>
          <w:wAfter w:w="570" w:type="dxa"/>
          <w:trHeight w:val="27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100</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钾盐</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13.50%</w:t>
            </w:r>
          </w:p>
        </w:tc>
      </w:tr>
      <w:tr w:rsidR="00EC4F4A">
        <w:trPr>
          <w:gridAfter w:val="2"/>
          <w:wAfter w:w="570" w:type="dxa"/>
          <w:trHeight w:val="27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101</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天然卤水</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原矿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3</w:t>
            </w:r>
            <w:r>
              <w:rPr>
                <w:rFonts w:ascii="宋体" w:hAnsi="宋体" w:hint="eastAsia"/>
                <w:color w:val="000000"/>
                <w:kern w:val="0"/>
                <w:szCs w:val="21"/>
              </w:rPr>
              <w:t>元</w:t>
            </w:r>
            <w:r>
              <w:rPr>
                <w:color w:val="000000"/>
                <w:kern w:val="0"/>
                <w:szCs w:val="21"/>
              </w:rPr>
              <w:t>/</w:t>
            </w:r>
            <w:r>
              <w:rPr>
                <w:rFonts w:ascii="宋体" w:hAnsi="宋体" w:hint="eastAsia"/>
                <w:color w:val="000000"/>
                <w:kern w:val="0"/>
                <w:szCs w:val="21"/>
              </w:rPr>
              <w:t>吨</w:t>
            </w:r>
          </w:p>
        </w:tc>
      </w:tr>
      <w:tr w:rsidR="00EC4F4A">
        <w:trPr>
          <w:gridAfter w:val="2"/>
          <w:wAfter w:w="570" w:type="dxa"/>
          <w:trHeight w:val="27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102</w:t>
            </w:r>
          </w:p>
        </w:tc>
        <w:tc>
          <w:tcPr>
            <w:tcW w:w="978" w:type="dxa"/>
            <w:vMerge/>
            <w:tcBorders>
              <w:top w:val="single" w:sz="4" w:space="0" w:color="auto"/>
              <w:left w:val="single" w:sz="4" w:space="0" w:color="auto"/>
              <w:bottom w:val="single" w:sz="4" w:space="0" w:color="auto"/>
              <w:right w:val="single" w:sz="4" w:space="0" w:color="auto"/>
            </w:tcBorders>
            <w:vAlign w:val="center"/>
          </w:tcPr>
          <w:p w:rsidR="00EC4F4A" w:rsidRDefault="00EC4F4A">
            <w:pPr>
              <w:widowControl/>
              <w:jc w:val="left"/>
              <w:rPr>
                <w:rFonts w:ascii="宋体" w:hAnsi="宋体" w:cs="宋体"/>
                <w:color w:val="000000"/>
                <w:kern w:val="0"/>
                <w:szCs w:val="21"/>
              </w:rPr>
            </w:pPr>
          </w:p>
        </w:tc>
        <w:tc>
          <w:tcPr>
            <w:tcW w:w="3402" w:type="dxa"/>
            <w:gridSpan w:val="3"/>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镁盐</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EC4F4A" w:rsidRDefault="00CC025E">
            <w:pPr>
              <w:widowControl/>
              <w:jc w:val="center"/>
              <w:rPr>
                <w:rFonts w:ascii="宋体" w:hAnsi="宋体" w:cs="宋体"/>
                <w:color w:val="000000"/>
                <w:kern w:val="0"/>
                <w:szCs w:val="21"/>
              </w:rPr>
            </w:pPr>
            <w:r>
              <w:rPr>
                <w:rFonts w:ascii="宋体" w:hAnsi="宋体" w:cs="宋体" w:hint="eastAsia"/>
                <w:color w:val="000000"/>
                <w:kern w:val="0"/>
                <w:szCs w:val="21"/>
              </w:rPr>
              <w:t>选矿</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EC4F4A" w:rsidRDefault="00CC025E">
            <w:pPr>
              <w:widowControl/>
              <w:jc w:val="center"/>
              <w:rPr>
                <w:color w:val="000000"/>
                <w:kern w:val="0"/>
                <w:szCs w:val="21"/>
              </w:rPr>
            </w:pPr>
            <w:r>
              <w:rPr>
                <w:color w:val="000000"/>
                <w:kern w:val="0"/>
                <w:szCs w:val="21"/>
              </w:rPr>
              <w:t>13.50%</w:t>
            </w:r>
          </w:p>
        </w:tc>
      </w:tr>
    </w:tbl>
    <w:p w:rsidR="00EC4F4A" w:rsidRDefault="00EC4F4A"/>
    <w:sectPr w:rsidR="00EC4F4A" w:rsidSect="00EC4F4A">
      <w:footerReference w:type="default" r:id="rId8"/>
      <w:pgSz w:w="11906" w:h="16838"/>
      <w:pgMar w:top="2098" w:right="1531" w:bottom="2098" w:left="1531" w:header="850"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25E" w:rsidRDefault="00CC025E" w:rsidP="00EC4F4A">
      <w:r>
        <w:separator/>
      </w:r>
    </w:p>
  </w:endnote>
  <w:endnote w:type="continuationSeparator" w:id="0">
    <w:p w:rsidR="00CC025E" w:rsidRDefault="00CC025E" w:rsidP="00EC4F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ˎ̥">
    <w:altName w:val="MS Mincho"/>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F4A" w:rsidRDefault="00EC4F4A">
    <w:pPr>
      <w:pStyle w:val="a4"/>
      <w:jc w:val="center"/>
    </w:pPr>
    <w:r>
      <w:pict>
        <v:shapetype id="_x0000_t202" coordsize="21600,21600" o:spt="202" path="m,l,21600r21600,l21600,xe">
          <v:stroke joinstyle="miter"/>
          <v:path gradientshapeok="t" o:connecttype="rect"/>
        </v:shapetype>
        <v:shape id="_x0000_s2049" type="#_x0000_t202" style="position:absolute;left:0;text-align:left;margin-left:104pt;margin-top:0;width:2in;height:2in;z-index:251658240;mso-wrap-style:none;mso-position-horizontal:outside;mso-position-horizontal-relative:margin" filled="f" stroked="f">
          <v:textbox style="mso-fit-shape-to-text:t" inset="0,0,0,0">
            <w:txbxContent>
              <w:p w:rsidR="00EC4F4A" w:rsidRDefault="00EC4F4A">
                <w:pPr>
                  <w:pStyle w:val="a4"/>
                  <w:jc w:val="center"/>
                  <w:rPr>
                    <w:rFonts w:ascii="宋体" w:hAnsi="宋体" w:cs="宋体"/>
                    <w:sz w:val="28"/>
                    <w:szCs w:val="28"/>
                  </w:rPr>
                </w:pPr>
                <w:r>
                  <w:rPr>
                    <w:rFonts w:ascii="宋体" w:hAnsi="宋体" w:cs="宋体" w:hint="eastAsia"/>
                    <w:sz w:val="28"/>
                    <w:szCs w:val="28"/>
                  </w:rPr>
                  <w:fldChar w:fldCharType="begin"/>
                </w:r>
                <w:r w:rsidR="00CC025E">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B0798" w:rsidRPr="00BB0798">
                  <w:rPr>
                    <w:rFonts w:ascii="宋体" w:hAnsi="宋体" w:cs="宋体"/>
                    <w:noProof/>
                    <w:sz w:val="28"/>
                    <w:szCs w:val="28"/>
                    <w:lang w:val="zh-CN"/>
                  </w:rPr>
                  <w:t>-</w:t>
                </w:r>
                <w:r w:rsidR="00BB0798">
                  <w:rPr>
                    <w:rFonts w:ascii="宋体" w:hAnsi="宋体" w:cs="宋体"/>
                    <w:noProof/>
                    <w:sz w:val="28"/>
                    <w:szCs w:val="28"/>
                  </w:rPr>
                  <w:t xml:space="preserve"> 1 -</w:t>
                </w:r>
                <w:r>
                  <w:rPr>
                    <w:rFonts w:ascii="宋体" w:hAnsi="宋体" w:cs="宋体" w:hint="eastAsia"/>
                    <w:sz w:val="28"/>
                    <w:szCs w:val="28"/>
                  </w:rPr>
                  <w:fldChar w:fldCharType="end"/>
                </w:r>
              </w:p>
            </w:txbxContent>
          </v:textbox>
          <w10:wrap anchorx="margin"/>
        </v:shape>
      </w:pict>
    </w:r>
  </w:p>
  <w:p w:rsidR="00EC4F4A" w:rsidRDefault="00EC4F4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25E" w:rsidRDefault="00CC025E" w:rsidP="00EC4F4A">
      <w:r>
        <w:separator/>
      </w:r>
    </w:p>
  </w:footnote>
  <w:footnote w:type="continuationSeparator" w:id="0">
    <w:p w:rsidR="00CC025E" w:rsidRDefault="00CC025E" w:rsidP="00EC4F4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7743"/>
    <w:rsid w:val="00074AB6"/>
    <w:rsid w:val="004E6D2D"/>
    <w:rsid w:val="007A2EB9"/>
    <w:rsid w:val="00A17743"/>
    <w:rsid w:val="00A8747E"/>
    <w:rsid w:val="00BB0798"/>
    <w:rsid w:val="00CC025E"/>
    <w:rsid w:val="00DD3752"/>
    <w:rsid w:val="00EC4F4A"/>
    <w:rsid w:val="38EC32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semiHidden="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Strong" w:semiHidden="0" w:uiPriority="0" w:unhideWhenUsed="0" w:qFormat="1"/>
    <w:lsdException w:name="Emphasis" w:semiHidden="0" w:uiPriority="20" w:unhideWhenUsed="0" w:qFormat="1"/>
    <w:lsdException w:name="Plain Text" w:semiHidden="0" w:uiPriority="0" w:unhideWhenUsed="0" w:qFormat="1"/>
    <w:lsdException w:name="Normal (Web)" w:semiHidden="0" w:uiPriority="0" w:qFormat="1"/>
    <w:lsdException w:name="HTML Preformatted"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F4A"/>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rsid w:val="00EC4F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F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4F4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C4F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EC4F4A"/>
    <w:pPr>
      <w:widowControl/>
      <w:spacing w:after="100" w:line="276" w:lineRule="auto"/>
      <w:ind w:left="440"/>
      <w:jc w:val="left"/>
    </w:pPr>
    <w:rPr>
      <w:rFonts w:asciiTheme="minorHAnsi" w:eastAsiaTheme="minorEastAsia" w:hAnsiTheme="minorHAnsi" w:cstheme="minorBidi"/>
      <w:kern w:val="0"/>
      <w:sz w:val="22"/>
      <w:szCs w:val="22"/>
    </w:rPr>
  </w:style>
  <w:style w:type="paragraph" w:styleId="a3">
    <w:name w:val="Plain Text"/>
    <w:basedOn w:val="a"/>
    <w:link w:val="Char"/>
    <w:qFormat/>
    <w:rsid w:val="00EC4F4A"/>
    <w:pPr>
      <w:autoSpaceDE w:val="0"/>
      <w:autoSpaceDN w:val="0"/>
      <w:adjustRightInd w:val="0"/>
      <w:jc w:val="left"/>
    </w:pPr>
    <w:rPr>
      <w:rFonts w:ascii="宋体" w:eastAsia="仿宋_GB2312" w:hAnsi="Courier New"/>
      <w:kern w:val="0"/>
      <w:sz w:val="32"/>
      <w:lang w:val="zh-CN"/>
    </w:rPr>
  </w:style>
  <w:style w:type="paragraph" w:styleId="a4">
    <w:name w:val="footer"/>
    <w:basedOn w:val="a"/>
    <w:link w:val="Char0"/>
    <w:uiPriority w:val="99"/>
    <w:qFormat/>
    <w:rsid w:val="00EC4F4A"/>
    <w:pPr>
      <w:tabs>
        <w:tab w:val="center" w:pos="4153"/>
        <w:tab w:val="right" w:pos="8306"/>
      </w:tabs>
      <w:snapToGrid w:val="0"/>
      <w:jc w:val="left"/>
    </w:pPr>
    <w:rPr>
      <w:sz w:val="18"/>
    </w:rPr>
  </w:style>
  <w:style w:type="paragraph" w:styleId="10">
    <w:name w:val="toc 1"/>
    <w:basedOn w:val="a"/>
    <w:next w:val="a"/>
    <w:uiPriority w:val="39"/>
    <w:unhideWhenUsed/>
    <w:qFormat/>
    <w:rsid w:val="00EC4F4A"/>
    <w:pPr>
      <w:widowControl/>
      <w:spacing w:after="100" w:line="276" w:lineRule="auto"/>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rsid w:val="00EC4F4A"/>
    <w:pPr>
      <w:widowControl/>
      <w:spacing w:after="100" w:line="276" w:lineRule="auto"/>
      <w:ind w:left="220"/>
      <w:jc w:val="left"/>
    </w:pPr>
    <w:rPr>
      <w:rFonts w:asciiTheme="minorHAnsi" w:eastAsiaTheme="minorEastAsia" w:hAnsiTheme="minorHAnsi" w:cstheme="minorBidi"/>
      <w:kern w:val="0"/>
      <w:sz w:val="22"/>
      <w:szCs w:val="22"/>
    </w:rPr>
  </w:style>
  <w:style w:type="paragraph" w:styleId="HTML">
    <w:name w:val="HTML Preformatted"/>
    <w:basedOn w:val="a"/>
    <w:link w:val="HTMLChar"/>
    <w:qFormat/>
    <w:rsid w:val="00EC4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5">
    <w:name w:val="Normal (Web)"/>
    <w:basedOn w:val="a"/>
    <w:unhideWhenUsed/>
    <w:qFormat/>
    <w:rsid w:val="00EC4F4A"/>
    <w:pPr>
      <w:spacing w:before="100" w:beforeAutospacing="1" w:after="100" w:afterAutospacing="1"/>
      <w:jc w:val="left"/>
    </w:pPr>
    <w:rPr>
      <w:kern w:val="0"/>
      <w:sz w:val="24"/>
    </w:rPr>
  </w:style>
  <w:style w:type="paragraph" w:styleId="a6">
    <w:name w:val="Title"/>
    <w:basedOn w:val="a"/>
    <w:next w:val="a"/>
    <w:link w:val="Char1"/>
    <w:uiPriority w:val="10"/>
    <w:qFormat/>
    <w:rsid w:val="00EC4F4A"/>
    <w:pPr>
      <w:spacing w:line="560" w:lineRule="exact"/>
      <w:jc w:val="center"/>
      <w:outlineLvl w:val="0"/>
    </w:pPr>
    <w:rPr>
      <w:rFonts w:asciiTheme="majorHAnsi" w:eastAsia="方正小标宋简体" w:hAnsiTheme="majorHAnsi" w:cstheme="majorBidi"/>
      <w:bCs/>
      <w:sz w:val="44"/>
      <w:szCs w:val="32"/>
    </w:rPr>
  </w:style>
  <w:style w:type="character" w:styleId="a7">
    <w:name w:val="Strong"/>
    <w:basedOn w:val="a0"/>
    <w:qFormat/>
    <w:rsid w:val="00EC4F4A"/>
    <w:rPr>
      <w:b/>
    </w:rPr>
  </w:style>
  <w:style w:type="character" w:styleId="a8">
    <w:name w:val="Hyperlink"/>
    <w:uiPriority w:val="99"/>
    <w:qFormat/>
    <w:rsid w:val="00EC4F4A"/>
    <w:rPr>
      <w:rFonts w:ascii="ˎ̥" w:hAnsi="ˎ̥" w:hint="default"/>
      <w:color w:val="0404B3"/>
      <w:sz w:val="18"/>
      <w:szCs w:val="18"/>
      <w:u w:val="none"/>
    </w:rPr>
  </w:style>
  <w:style w:type="character" w:customStyle="1" w:styleId="1Char">
    <w:name w:val="标题 1 Char"/>
    <w:basedOn w:val="a0"/>
    <w:link w:val="1"/>
    <w:uiPriority w:val="9"/>
    <w:qFormat/>
    <w:rsid w:val="00EC4F4A"/>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sid w:val="00EC4F4A"/>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EC4F4A"/>
    <w:rPr>
      <w:rFonts w:ascii="Times New Roman" w:eastAsia="宋体" w:hAnsi="Times New Roman" w:cs="Times New Roman"/>
      <w:b/>
      <w:bCs/>
      <w:sz w:val="32"/>
      <w:szCs w:val="32"/>
    </w:rPr>
  </w:style>
  <w:style w:type="character" w:customStyle="1" w:styleId="4Char">
    <w:name w:val="标题 4 Char"/>
    <w:basedOn w:val="a0"/>
    <w:link w:val="4"/>
    <w:uiPriority w:val="9"/>
    <w:qFormat/>
    <w:rsid w:val="00EC4F4A"/>
    <w:rPr>
      <w:rFonts w:asciiTheme="majorHAnsi" w:eastAsiaTheme="majorEastAsia" w:hAnsiTheme="majorHAnsi" w:cstheme="majorBidi"/>
      <w:b/>
      <w:bCs/>
      <w:sz w:val="28"/>
      <w:szCs w:val="28"/>
    </w:rPr>
  </w:style>
  <w:style w:type="character" w:customStyle="1" w:styleId="Char1">
    <w:name w:val="标题 Char"/>
    <w:basedOn w:val="a0"/>
    <w:link w:val="a6"/>
    <w:uiPriority w:val="10"/>
    <w:qFormat/>
    <w:rsid w:val="00EC4F4A"/>
    <w:rPr>
      <w:rFonts w:asciiTheme="majorHAnsi" w:eastAsia="方正小标宋简体" w:hAnsiTheme="majorHAnsi" w:cstheme="majorBidi"/>
      <w:bCs/>
      <w:sz w:val="44"/>
      <w:szCs w:val="32"/>
    </w:rPr>
  </w:style>
  <w:style w:type="character" w:customStyle="1" w:styleId="Char">
    <w:name w:val="纯文本 Char"/>
    <w:basedOn w:val="a0"/>
    <w:link w:val="a3"/>
    <w:qFormat/>
    <w:rsid w:val="00EC4F4A"/>
    <w:rPr>
      <w:rFonts w:ascii="宋体" w:eastAsia="仿宋_GB2312" w:hAnsi="Courier New" w:cs="Times New Roman"/>
      <w:kern w:val="0"/>
      <w:sz w:val="32"/>
      <w:szCs w:val="20"/>
      <w:lang w:val="zh-CN"/>
    </w:rPr>
  </w:style>
  <w:style w:type="paragraph" w:styleId="a9">
    <w:name w:val="List Paragraph"/>
    <w:basedOn w:val="a"/>
    <w:uiPriority w:val="99"/>
    <w:unhideWhenUsed/>
    <w:qFormat/>
    <w:rsid w:val="00EC4F4A"/>
    <w:pPr>
      <w:ind w:firstLineChars="200" w:firstLine="420"/>
    </w:pPr>
    <w:rPr>
      <w:szCs w:val="24"/>
    </w:rPr>
  </w:style>
  <w:style w:type="paragraph" w:customStyle="1" w:styleId="TOC1">
    <w:name w:val="TOC 标题1"/>
    <w:basedOn w:val="1"/>
    <w:next w:val="a"/>
    <w:uiPriority w:val="39"/>
    <w:semiHidden/>
    <w:unhideWhenUsed/>
    <w:qFormat/>
    <w:rsid w:val="00EC4F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p0">
    <w:name w:val="p0"/>
    <w:basedOn w:val="a"/>
    <w:qFormat/>
    <w:rsid w:val="00EC4F4A"/>
    <w:pPr>
      <w:widowControl/>
    </w:pPr>
    <w:rPr>
      <w:rFonts w:ascii="Calibri" w:hAnsi="Calibri" w:cs="Calibri"/>
      <w:kern w:val="0"/>
      <w:szCs w:val="21"/>
    </w:rPr>
  </w:style>
  <w:style w:type="character" w:customStyle="1" w:styleId="Char0">
    <w:name w:val="页脚 Char"/>
    <w:basedOn w:val="a0"/>
    <w:link w:val="a4"/>
    <w:uiPriority w:val="99"/>
    <w:qFormat/>
    <w:rsid w:val="00EC4F4A"/>
    <w:rPr>
      <w:rFonts w:ascii="Times New Roman" w:eastAsia="宋体" w:hAnsi="Times New Roman" w:cs="Times New Roman"/>
      <w:sz w:val="18"/>
      <w:szCs w:val="20"/>
    </w:rPr>
  </w:style>
  <w:style w:type="character" w:customStyle="1" w:styleId="HTMLChar">
    <w:name w:val="HTML 预设格式 Char"/>
    <w:basedOn w:val="a0"/>
    <w:link w:val="HTML"/>
    <w:qFormat/>
    <w:rsid w:val="00EC4F4A"/>
    <w:rPr>
      <w:rFonts w:ascii="宋体" w:eastAsia="宋体" w:hAnsi="宋体" w:cs="Times New Roman"/>
      <w:kern w:val="0"/>
      <w:sz w:val="24"/>
      <w:szCs w:val="24"/>
    </w:rPr>
  </w:style>
  <w:style w:type="paragraph" w:styleId="aa">
    <w:name w:val="header"/>
    <w:basedOn w:val="a"/>
    <w:link w:val="Char2"/>
    <w:uiPriority w:val="99"/>
    <w:semiHidden/>
    <w:unhideWhenUsed/>
    <w:rsid w:val="00BB079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BB0798"/>
    <w:rPr>
      <w:rFonts w:ascii="Times New Roman" w:eastAsia="宋体"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5DD1E1-364F-4291-8C7A-D7D796AE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2020-11-25T03:59:00Z</dcterms:created>
  <dcterms:modified xsi:type="dcterms:W3CDTF">2020-11-25T04:19:00Z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